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8"/>
        <w:jc w:val="right"/>
        <w:keepLines/>
        <w:keepNext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Приложение №1 к Документации о закупке</w:t>
      </w:r>
      <w:r>
        <w:rPr>
          <w:b/>
          <w:bCs/>
          <w:color w:val="000000" w:themeColor="text1"/>
          <w:sz w:val="26"/>
          <w:szCs w:val="26"/>
        </w:rPr>
      </w:r>
    </w:p>
    <w:p>
      <w:pPr>
        <w:pStyle w:val="758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58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58"/>
        <w:jc w:val="right"/>
        <w:keepLines/>
        <w:keepNext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758"/>
        <w:keepLines/>
        <w:keepNext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оказание услуг</w:t>
      </w:r>
      <w:r>
        <w:rPr>
          <w:rFonts w:eastAsia="Calibri"/>
          <w:b/>
          <w:sz w:val="26"/>
          <w:szCs w:val="26"/>
        </w:rPr>
      </w:r>
    </w:p>
    <w:p>
      <w:pPr>
        <w:pStyle w:val="758"/>
        <w:jc w:val="both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58"/>
        <w:jc w:val="both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58"/>
        <w:jc w:val="center"/>
        <w:rPr>
          <w:i/>
        </w:rPr>
      </w:pPr>
      <w:r>
        <w:rPr>
          <w:b/>
          <w:bCs/>
          <w:sz w:val="24"/>
          <w:szCs w:val="24"/>
        </w:rPr>
        <w:t xml:space="preserve">«ОКПД2 71.20.12.000 Оказание услуг по продлению срока безопасной эксплуатации резервуаров хранения нефтепродуктов, для нужд СП, расположенных в Хабаровском крае, Приморском крае, Амурской области и Республике Саха (Якутия) и ЕАО»</w:t>
      </w:r>
      <w:r>
        <w:rPr>
          <w:i/>
        </w:rPr>
      </w:r>
    </w:p>
    <w:p>
      <w:pPr>
        <w:pStyle w:val="758"/>
        <w:jc w:val="center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pStyle w:val="758"/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pStyle w:val="758"/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№41005028-ЭКСП ПРОД-2026-ДГК</w:t>
      </w:r>
      <w:r>
        <w:rPr>
          <w:rFonts w:eastAsia="Calibri"/>
          <w:b/>
          <w:i/>
          <w:sz w:val="26"/>
          <w:szCs w:val="26"/>
        </w:rPr>
      </w:r>
    </w:p>
    <w:p>
      <w:pPr>
        <w:pStyle w:val="758"/>
        <w:jc w:val="both"/>
        <w:keepLines/>
        <w:keepNext/>
        <w:rPr>
          <w:rFonts w:eastAsia="Calibri"/>
          <w:b/>
          <w:i/>
          <w:sz w:val="26"/>
          <w:szCs w:val="26"/>
          <w:highlight w:val="yellow"/>
        </w:rPr>
      </w:pPr>
      <w:r>
        <w:rPr>
          <w:rFonts w:eastAsia="Calibri"/>
          <w:b/>
          <w:i/>
          <w:sz w:val="26"/>
          <w:szCs w:val="26"/>
          <w:highlight w:val="yellow"/>
        </w:rPr>
      </w:r>
      <w:r>
        <w:rPr>
          <w:rFonts w:eastAsia="Calibri"/>
          <w:b/>
          <w:i/>
          <w:sz w:val="26"/>
          <w:szCs w:val="26"/>
          <w:highlight w:val="yellow"/>
        </w:rPr>
      </w:r>
    </w:p>
    <w:p>
      <w:pPr>
        <w:pStyle w:val="758"/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8"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</w:p>
    <w:p>
      <w:pPr>
        <w:pStyle w:val="758"/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58"/>
            <w:tabs>
              <w:tab w:val="left" w:pos="567" w:leader="none"/>
              <w:tab w:val="clear" w:pos="708" w:leader="none"/>
              <w:tab w:val="right" w:pos="9911" w:leader="dot"/>
            </w:tabs>
            <w:rPr>
              <w:caps/>
            </w:rPr>
          </w:pPr>
          <w:r>
            <w:fldChar w:fldCharType="begin"/>
          </w:r>
          <w:r>
            <w:rPr>
              <w:rStyle w:val="831"/>
              <w:rFonts w:eastAsia="Calibri" w:cs="Times New Roman"/>
              <w:vanish w:val="0"/>
            </w:rPr>
            <w:instrText xml:space="preserve"> TOC \z \o "1-4" \u \h</w:instrText>
          </w:r>
          <w:r>
            <w:rPr>
              <w:rStyle w:val="831"/>
              <w:rFonts w:eastAsia="Calibri" w:cs="Times New Roman"/>
              <w:vanish w:val="0"/>
            </w:rPr>
            <w:fldChar w:fldCharType="separate"/>
          </w:r>
          <w:hyperlink w:tooltip="#_Toc1" w:anchor="_Toc1" w:history="1">
            <w:r>
              <w:rPr>
                <w:rStyle w:val="831"/>
                <w:rFonts w:eastAsia="Calibri" w:cs="Times New Roman"/>
                <w:vanish w:val="0"/>
              </w:rPr>
              <w:t xml:space="preserve">1.</w:t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Общие сведения</w:t>
              <w:tab/>
              <w:t xml:space="preserve">4</w:t>
            </w:r>
            <w:r>
              <w:fldChar w:fldCharType="end"/>
            </w:r>
          </w:hyperlink>
          <w:r/>
          <w:r>
            <w:rPr>
              <w:caps/>
            </w:rPr>
          </w:r>
        </w:p>
        <w:p>
          <w:pPr>
            <w:pStyle w:val="869"/>
            <w:tabs>
              <w:tab w:val="left" w:pos="1120" w:leader="none"/>
              <w:tab w:val="left" w:pos="1417" w:leader="none"/>
              <w:tab w:val="right" w:pos="9911" w:leader="dot"/>
            </w:tabs>
          </w:pPr>
          <w:r/>
          <w:hyperlink w:tooltip="#_Toc2" w:anchor="_Toc2" w:history="1">
            <w:r>
              <w:rPr>
                <w:rStyle w:val="831"/>
                <w:rFonts w:eastAsia="Calibri" w:cs="Times New Roman"/>
                <w:vanish w:val="0"/>
              </w:rPr>
              <w:t xml:space="preserve">1.1.</w:t>
            </w:r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Обозначения и сокращения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69"/>
            <w:tabs>
              <w:tab w:val="left" w:pos="1120" w:leader="none"/>
              <w:tab w:val="left" w:pos="1417" w:leader="none"/>
              <w:tab w:val="right" w:pos="9911" w:leader="dot"/>
            </w:tabs>
          </w:pPr>
          <w:r/>
          <w:hyperlink w:tooltip="#_Toc3" w:anchor="_Toc3" w:history="1">
            <w:r>
              <w:rPr>
                <w:rStyle w:val="831"/>
                <w:rFonts w:eastAsia="Calibri" w:cs="Times New Roman"/>
                <w:vanish w:val="0"/>
              </w:rPr>
              <w:t xml:space="preserve">1.2.</w:t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Наименование закупаемой продукции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69"/>
            <w:tabs>
              <w:tab w:val="left" w:pos="1120" w:leader="none"/>
              <w:tab w:val="left" w:pos="1417" w:leader="none"/>
              <w:tab w:val="right" w:pos="9911" w:leader="dot"/>
            </w:tabs>
          </w:pPr>
          <w:r/>
          <w:hyperlink w:tooltip="#_Toc4" w:anchor="_Toc4" w:history="1">
            <w:r>
              <w:rPr>
                <w:rStyle w:val="831"/>
                <w:rFonts w:eastAsia="Calibri" w:cs="Times New Roman"/>
                <w:vanish w:val="0"/>
              </w:rPr>
              <w:t xml:space="preserve">1.3.</w:t>
            </w:r>
            <w:r>
              <w:rPr>
                <w:rStyle w:val="831"/>
              </w:rPr>
              <w:tab/>
              <w:t xml:space="preserve">Цель оказания услуг</w:t>
              <w:tab/>
            </w:r>
          </w:hyperlink>
          <w:r>
            <w:t xml:space="preserve">4</w:t>
          </w:r>
          <w:r/>
        </w:p>
        <w:p>
          <w:pPr>
            <w:pStyle w:val="869"/>
            <w:tabs>
              <w:tab w:val="left" w:pos="1120" w:leader="none"/>
              <w:tab w:val="left" w:pos="1417" w:leader="none"/>
              <w:tab w:val="right" w:pos="9911" w:leader="dot"/>
            </w:tabs>
          </w:pPr>
          <w:r/>
          <w:hyperlink w:tooltip="#_Toc5" w:anchor="_Toc5" w:history="1">
            <w:r>
              <w:rPr>
                <w:rStyle w:val="831"/>
                <w:rFonts w:eastAsia="Calibri" w:cs="Times New Roman"/>
                <w:vanish w:val="0"/>
              </w:rPr>
              <w:t xml:space="preserve">1.4.</w:t>
            </w:r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Существующее положение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58"/>
            <w:tabs>
              <w:tab w:val="clear" w:pos="708" w:leader="none"/>
              <w:tab w:val="right" w:pos="9911" w:leader="dot"/>
            </w:tabs>
          </w:pPr>
          <w:r/>
          <w:hyperlink w:tooltip="#_Toc6" w:anchor="_Toc6" w:history="1">
            <w:r>
              <w:rPr>
                <w:rStyle w:val="831"/>
                <w:vanish w:val="0"/>
              </w:rPr>
              <w:t xml:space="preserve">Таблица 1.1. Перечень объектов заказчика</w:t>
              <w:tab/>
            </w:r>
          </w:hyperlink>
          <w:r>
            <w:t xml:space="preserve">4</w:t>
          </w:r>
          <w:r/>
        </w:p>
        <w:p>
          <w:pPr>
            <w:pStyle w:val="858"/>
            <w:tabs>
              <w:tab w:val="left" w:pos="567" w:leader="none"/>
              <w:tab w:val="clear" w:pos="708" w:leader="none"/>
              <w:tab w:val="right" w:pos="9911" w:leader="dot"/>
            </w:tabs>
            <w:rPr>
              <w:iCs/>
              <w:caps/>
            </w:rPr>
          </w:pPr>
          <w:r/>
          <w:hyperlink w:tooltip="#_Toc8" w:anchor="_Toc8" w:history="1">
            <w:r>
              <w:rPr>
                <w:rStyle w:val="831"/>
                <w:rFonts w:eastAsia="Calibri" w:cs="Times New Roman"/>
                <w:vanish w:val="0"/>
              </w:rPr>
              <w:t xml:space="preserve">2.</w:t>
            </w:r>
            <w:r>
              <w:rPr>
                <w:rStyle w:val="831"/>
              </w:rPr>
              <w:tab/>
            </w:r>
            <w:r>
              <w:rPr>
                <w:rStyle w:val="831"/>
                <w:iCs/>
              </w:rPr>
              <w:t xml:space="preserve">Требования к продукции</w:t>
            </w:r>
            <w:r>
              <w:rPr>
                <w:rStyle w:val="831"/>
              </w:rPr>
              <w:tab/>
            </w:r>
          </w:hyperlink>
          <w:r>
            <w:rPr>
              <w:iCs/>
              <w:caps/>
            </w:rPr>
            <w:t xml:space="preserve">8</w:t>
          </w:r>
          <w:r>
            <w:rPr>
              <w:iCs/>
              <w:caps/>
            </w:rPr>
          </w:r>
        </w:p>
        <w:p>
          <w:pPr>
            <w:pStyle w:val="869"/>
            <w:tabs>
              <w:tab w:val="left" w:pos="1120" w:leader="none"/>
              <w:tab w:val="left" w:pos="1417" w:leader="none"/>
              <w:tab w:val="right" w:pos="9911" w:leader="dot"/>
            </w:tabs>
          </w:pPr>
          <w:r/>
          <w:hyperlink w:tooltip="#_Toc9" w:anchor="_Toc9" w:history="1">
            <w:r>
              <w:rPr>
                <w:rStyle w:val="831"/>
                <w:rFonts w:eastAsia="Calibri" w:cs="Times New Roman"/>
                <w:vanish w:val="0"/>
              </w:rPr>
              <w:t xml:space="preserve">2.1.</w:t>
            </w:r>
            <w:r>
              <w:rPr>
                <w:rStyle w:val="831"/>
              </w:rPr>
              <w:tab/>
              <w:t xml:space="preserve">Требования к объемам и срокам оказания услуг</w:t>
              <w:tab/>
            </w:r>
          </w:hyperlink>
          <w:r>
            <w:t xml:space="preserve">8</w:t>
          </w:r>
          <w:r/>
        </w:p>
        <w:p>
          <w:pPr>
            <w:pStyle w:val="859"/>
            <w:ind w:left="567" w:right="0" w:firstLine="0"/>
            <w:tabs>
              <w:tab w:val="left" w:pos="425" w:leader="none"/>
              <w:tab w:val="clear" w:pos="708" w:leader="none"/>
              <w:tab w:val="left" w:pos="1134" w:leader="none"/>
              <w:tab w:val="right" w:pos="9911" w:leader="dot"/>
            </w:tabs>
          </w:pPr>
          <w:r/>
          <w:hyperlink w:tooltip="#_Toc12" w:anchor="_Toc12" w:history="1">
            <w:r>
              <w:rPr>
                <w:rStyle w:val="831"/>
                <w:rFonts w:eastAsia="Calibri" w:cs="Times New Roman"/>
                <w:vanish w:val="0"/>
              </w:rPr>
              <w:t xml:space="preserve">2.1.1</w:t>
            </w:r>
            <w:r>
              <w:rPr>
                <w:rStyle w:val="831"/>
              </w:rPr>
              <w:tab/>
              <w:t xml:space="preserve">Требования к срокам оказания услуг</w:t>
              <w:tab/>
            </w:r>
          </w:hyperlink>
          <w:r>
            <w:t xml:space="preserve">8</w:t>
          </w:r>
          <w:r/>
        </w:p>
        <w:p>
          <w:pPr>
            <w:pStyle w:val="858"/>
            <w:tabs>
              <w:tab w:val="clear" w:pos="708" w:leader="none"/>
              <w:tab w:val="right" w:pos="9911" w:leader="dot"/>
            </w:tabs>
          </w:pPr>
          <w:r/>
          <w:hyperlink w:tooltip="#_Toc13" w:anchor="_Toc13" w:history="1">
            <w:r>
              <w:rPr>
                <w:rStyle w:val="831"/>
                <w:vanish w:val="0"/>
              </w:rPr>
              <w:t xml:space="preserve">Таблица 3. Требования к срокам оказания услуг</w:t>
              <w:tab/>
            </w:r>
          </w:hyperlink>
          <w:r>
            <w:t xml:space="preserve">9</w:t>
          </w:r>
          <w:r/>
        </w:p>
        <w:p>
          <w:pPr>
            <w:pStyle w:val="869"/>
            <w:tabs>
              <w:tab w:val="left" w:pos="1120" w:leader="none"/>
              <w:tab w:val="left" w:pos="1417" w:leader="none"/>
              <w:tab w:val="right" w:pos="9911" w:leader="dot"/>
            </w:tabs>
          </w:pPr>
          <w:r/>
          <w:hyperlink w:tooltip="#_Toc14" w:anchor="_Toc14" w:history="1">
            <w:r>
              <w:rPr>
                <w:rStyle w:val="831"/>
                <w:rFonts w:eastAsia="Calibri" w:cs="Times New Roman"/>
                <w:vanish w:val="0"/>
              </w:rPr>
              <w:t xml:space="preserve">2.2.</w:t>
            </w:r>
            <w:r>
              <w:fldChar w:fldCharType="begin"/>
            </w:r>
            <w:r>
              <w:instrText xml:space="preserve">PAGEREF _Toc14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Требования к качеству продукции</w:t>
              <w:tab/>
            </w:r>
            <w:r>
              <w:fldChar w:fldCharType="end"/>
            </w:r>
          </w:hyperlink>
          <w:r/>
          <w:r/>
        </w:p>
        <w:p>
          <w:pPr>
            <w:pStyle w:val="858"/>
            <w:tabs>
              <w:tab w:val="clear" w:pos="708" w:leader="none"/>
              <w:tab w:val="right" w:pos="9911" w:leader="dot"/>
            </w:tabs>
          </w:pPr>
          <w:r/>
          <w:hyperlink w:tooltip="#_Toc15" w:anchor="_Toc15" w:history="1">
            <w:r>
              <w:rPr>
                <w:rStyle w:val="831"/>
                <w:vanish w:val="0"/>
              </w:rPr>
              <w:t xml:space="preserve">Таблица 4. Требования к качеству продукции</w:t>
              <w:tab/>
            </w:r>
          </w:hyperlink>
          <w:r>
            <w:t xml:space="preserve">9</w:t>
          </w:r>
          <w:r/>
        </w:p>
        <w:p>
          <w:pPr>
            <w:pStyle w:val="858"/>
            <w:tabs>
              <w:tab w:val="left" w:pos="567" w:leader="none"/>
              <w:tab w:val="clear" w:pos="708" w:leader="none"/>
              <w:tab w:val="right" w:pos="9911" w:leader="dot"/>
            </w:tabs>
          </w:pPr>
          <w:r/>
          <w:hyperlink w:tooltip="#_Toc17" w:anchor="_Toc17" w:history="1">
            <w:r>
              <w:rPr>
                <w:rStyle w:val="831"/>
                <w:rFonts w:eastAsia="Calibri" w:cs="Times New Roman"/>
                <w:vanish w:val="0"/>
              </w:rPr>
              <w:t xml:space="preserve">3.</w:t>
            </w:r>
            <w:r>
              <w:fldChar w:fldCharType="begin"/>
            </w:r>
            <w:r>
              <w:instrText xml:space="preserve">PAGEREF _Toc17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Требования к документации по ценообразованию на этапе закупки</w:t>
              <w:tab/>
              <w:t xml:space="preserve">25</w:t>
            </w:r>
            <w:r>
              <w:fldChar w:fldCharType="end"/>
            </w:r>
          </w:hyperlink>
          <w:r/>
          <w:r/>
        </w:p>
        <w:p>
          <w:pPr>
            <w:pStyle w:val="858"/>
            <w:tabs>
              <w:tab w:val="left" w:pos="567" w:leader="none"/>
              <w:tab w:val="clear" w:pos="708" w:leader="none"/>
              <w:tab w:val="right" w:pos="9911" w:leader="dot"/>
            </w:tabs>
          </w:pPr>
          <w:r/>
          <w:hyperlink w:tooltip="#_Toc18" w:anchor="_Toc18" w:history="1">
            <w:r>
              <w:rPr>
                <w:rStyle w:val="831"/>
                <w:rFonts w:eastAsia="Calibri" w:cs="Times New Roman"/>
                <w:vanish w:val="0"/>
              </w:rPr>
              <w:t xml:space="preserve">4.</w:t>
            </w:r>
            <w:r>
              <w:fldChar w:fldCharType="begin"/>
            </w:r>
            <w:r>
              <w:instrText xml:space="preserve">PAGEREF _Toc18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Требования к документации по ценообразованию на этапе заключения (исполнения) договора</w:t>
              <w:tab/>
              <w:t xml:space="preserve">25</w:t>
            </w:r>
            <w:r>
              <w:fldChar w:fldCharType="end"/>
            </w:r>
          </w:hyperlink>
          <w:r/>
          <w:r/>
        </w:p>
        <w:p>
          <w:pPr>
            <w:pStyle w:val="858"/>
            <w:tabs>
              <w:tab w:val="left" w:pos="567" w:leader="none"/>
              <w:tab w:val="clear" w:pos="708" w:leader="none"/>
              <w:tab w:val="right" w:pos="9911" w:leader="dot"/>
            </w:tabs>
            <w:rPr>
              <w:iCs/>
              <w:caps/>
            </w:rPr>
          </w:pPr>
          <w:r/>
          <w:hyperlink w:tooltip="#_Toc19" w:anchor="_Toc19" w:history="1">
            <w:r>
              <w:rPr>
                <w:rStyle w:val="831"/>
                <w:rFonts w:eastAsia="Calibri" w:cs="Times New Roman"/>
                <w:vanish w:val="0"/>
              </w:rPr>
              <w:t xml:space="preserve">5.</w:t>
            </w:r>
            <w:r>
              <w:rPr>
                <w:rStyle w:val="831"/>
              </w:rPr>
              <w:tab/>
            </w:r>
            <w:r>
              <w:rPr>
                <w:rStyle w:val="831"/>
                <w:iCs/>
              </w:rPr>
              <w:t xml:space="preserve">Приложения</w:t>
            </w:r>
            <w:r>
              <w:fldChar w:fldCharType="begin"/>
            </w:r>
            <w:r>
              <w:instrText xml:space="preserve">PAGEREF _Toc19 \h</w:instrText>
            </w:r>
            <w:r>
              <w:fldChar w:fldCharType="separate"/>
            </w:r>
            <w:r>
              <w:rPr>
                <w:rStyle w:val="831"/>
              </w:rPr>
              <w:tab/>
              <w:t xml:space="preserve">25</w:t>
            </w:r>
            <w:r>
              <w:fldChar w:fldCharType="end"/>
            </w:r>
          </w:hyperlink>
          <w:r>
            <w:rPr>
              <w:rStyle w:val="831"/>
            </w:rPr>
            <w:fldChar w:fldCharType="end"/>
          </w:r>
          <w:r>
            <w:rPr>
              <w:iCs/>
              <w:caps/>
            </w:rPr>
          </w:r>
        </w:p>
      </w:sdtContent>
    </w:sdt>
    <w:p>
      <w:pPr>
        <w:pStyle w:val="760"/>
        <w:numPr>
          <w:ilvl w:val="0"/>
          <w:numId w:val="0"/>
        </w:numPr>
        <w:ind w:left="0" w:firstLine="0"/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</w:p>
    <w:p>
      <w:pPr>
        <w:pStyle w:val="758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759"/>
        <w:numPr>
          <w:ilvl w:val="0"/>
          <w:numId w:val="3"/>
        </w:numPr>
        <w:ind w:left="357" w:hanging="357"/>
        <w:jc w:val="center"/>
        <w:keepLines/>
        <w:rPr>
          <w:caps/>
        </w:rPr>
      </w:pPr>
      <w:r/>
      <w:bookmarkStart w:id="0" w:name="_Toc1"/>
      <w:r>
        <w:t xml:space="preserve">Общие сведения</w:t>
      </w:r>
      <w:bookmarkEnd w:id="0"/>
      <w:r/>
      <w:r>
        <w:rPr>
          <w:caps/>
        </w:rPr>
      </w:r>
    </w:p>
    <w:p>
      <w:pPr>
        <w:pStyle w:val="762"/>
        <w:numPr>
          <w:ilvl w:val="1"/>
          <w:numId w:val="3"/>
        </w:numPr>
      </w:pPr>
      <w:r/>
      <w:bookmarkStart w:id="1" w:name="_Toc2"/>
      <w:r>
        <w:t xml:space="preserve">Обозначения и сокращения</w:t>
      </w:r>
      <w:bookmarkEnd w:id="1"/>
      <w:r/>
      <w:r/>
    </w:p>
    <w:p>
      <w:pPr>
        <w:pStyle w:val="758"/>
      </w:pPr>
      <w:r/>
      <w:r/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58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ЭПБ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58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Экспертиза промышленной безопасности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58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НТД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58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58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58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Структурное подразделение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58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8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8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br w:type="page" w:clear="all"/>
      </w:r>
      <w:r>
        <w:rPr>
          <w:sz w:val="24"/>
          <w:szCs w:val="24"/>
        </w:rPr>
      </w:r>
    </w:p>
    <w:p>
      <w:pPr>
        <w:pStyle w:val="762"/>
        <w:numPr>
          <w:ilvl w:val="1"/>
          <w:numId w:val="3"/>
        </w:numPr>
        <w:ind w:left="0" w:firstLine="709"/>
        <w:tabs>
          <w:tab w:val="clear" w:pos="708" w:leader="none"/>
          <w:tab w:val="left" w:pos="1134" w:leader="none"/>
        </w:tabs>
      </w:pPr>
      <w:r>
        <w:t xml:space="preserve">Наименование закупаемой продукции</w:t>
      </w:r>
      <w:r/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«Продление срока безопасной эксплуатации резервуаров хранения нефтепродуктов, для нужд СП, расположенных в Хабаровском крае, Приморском крае, Амурской области и Республике Саха (Якутия) и ЕАО».</w:t>
      </w:r>
      <w:r>
        <w:rPr>
          <w:rFonts w:eastAsia="Calibri"/>
          <w:i/>
          <w:iCs/>
          <w:sz w:val="24"/>
          <w:szCs w:val="24"/>
        </w:rPr>
      </w:r>
    </w:p>
    <w:p>
      <w:pPr>
        <w:pStyle w:val="762"/>
        <w:numPr>
          <w:ilvl w:val="1"/>
          <w:numId w:val="3"/>
        </w:numPr>
        <w:ind w:left="0" w:firstLine="709"/>
        <w:spacing w:before="240" w:after="60"/>
        <w:tabs>
          <w:tab w:val="clear" w:pos="708" w:leader="none"/>
          <w:tab w:val="left" w:pos="1134" w:leader="none"/>
        </w:tabs>
      </w:pPr>
      <w:r>
        <w:t xml:space="preserve">Цель оказания услуг</w:t>
      </w:r>
      <w:r/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Целью оказания услуг является оценка</w:t>
      </w:r>
      <w:r>
        <w:rPr>
          <w:rFonts w:eastAsia="Calibri"/>
          <w:i/>
          <w:iCs/>
          <w:sz w:val="24"/>
          <w:szCs w:val="24"/>
        </w:rPr>
        <w:t xml:space="preserve"> соответствия объектов Заказчика, предъявляемых к ним требованиям промышленной безопасности, согласно Федерального закона 21.07.1997 №116-ФЗ «О промышленной безопасности опасных производственных объектов» и иным нормативно-правовым актам Российской Федерац</w:t>
      </w:r>
      <w:r>
        <w:rPr>
          <w:rFonts w:eastAsia="Calibri"/>
          <w:i/>
          <w:iCs/>
          <w:sz w:val="24"/>
          <w:szCs w:val="24"/>
        </w:rPr>
        <w:t xml:space="preserve">ии. Определение фактического состояния оборудования, достаточности и надежности, разработанных и реализованных мер по обеспечению требований промышленной безопасности, расчет остаточного ресурса и оценка возможности продления срока безопасной эксплуатации.</w:t>
      </w:r>
      <w:r>
        <w:rPr>
          <w:rFonts w:eastAsia="Calibri"/>
          <w:i/>
          <w:iCs/>
          <w:sz w:val="24"/>
          <w:szCs w:val="24"/>
        </w:rPr>
      </w:r>
    </w:p>
    <w:p>
      <w:pPr>
        <w:pStyle w:val="762"/>
        <w:numPr>
          <w:ilvl w:val="1"/>
          <w:numId w:val="3"/>
        </w:numPr>
        <w:ind w:left="0" w:firstLine="709"/>
        <w:tabs>
          <w:tab w:val="clear" w:pos="708" w:leader="none"/>
          <w:tab w:val="left" w:pos="1134" w:leader="none"/>
        </w:tabs>
      </w:pPr>
      <w:r>
        <w:t xml:space="preserve">Существующее положение</w:t>
      </w:r>
      <w:r/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Оказание услуг производится для нужд структурных подразделений Заказчика по адресам:</w:t>
      </w:r>
      <w:r>
        <w:rPr>
          <w:rFonts w:eastAsia="Calibri"/>
          <w:bCs/>
          <w:i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СП «Артемовская ТЭЦ» (АТЭЦ) - 692775, Приморский край, г. Артем, ул. Каширская, 23;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СП </w:t>
      </w:r>
      <w:r>
        <w:rPr>
          <w:sz w:val="24"/>
          <w:szCs w:val="24"/>
        </w:rPr>
        <w:t xml:space="preserve">«</w:t>
      </w:r>
      <w:r>
        <w:rPr>
          <w:color w:val="000000"/>
          <w:sz w:val="24"/>
          <w:szCs w:val="24"/>
        </w:rPr>
        <w:t xml:space="preserve">Амурская ТЭЦ-1</w:t>
      </w:r>
      <w:r>
        <w:rPr>
          <w:sz w:val="24"/>
          <w:szCs w:val="24"/>
        </w:rPr>
        <w:t xml:space="preserve">» (АТЭЦ-1) - 682640 Хабаровский край г.Амурск, Западное шоссе, 10;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СП «Благовещенская ТЭЦ</w:t>
      </w:r>
      <w:r>
        <w:rPr>
          <w:bCs/>
          <w:sz w:val="24"/>
          <w:szCs w:val="24"/>
        </w:rPr>
        <w:t xml:space="preserve">» (БлТЭЦ)- 675000 Амурская область, г. Благовещенск, ул. Загородная 177;</w:t>
      </w:r>
      <w:r>
        <w:rPr>
          <w:bCs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СП «Владивостокская ТЭЦ-2</w:t>
      </w:r>
      <w:r>
        <w:rPr>
          <w:bCs/>
          <w:sz w:val="24"/>
          <w:szCs w:val="24"/>
        </w:rPr>
        <w:t xml:space="preserve">» (ВТЭЦ-2) - 690034, Приморский край, г. Владивосток, ул. Фадеева, 47;</w:t>
      </w:r>
      <w:r>
        <w:rPr>
          <w:bCs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strike/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СП «Комсомольская ТЭЦ-3</w:t>
      </w:r>
      <w:r>
        <w:rPr>
          <w:bCs/>
          <w:sz w:val="24"/>
          <w:szCs w:val="24"/>
        </w:rPr>
        <w:t xml:space="preserve">» (КТЭЦ-3) - 681034, Хабаровский край, г. Комсомольск-на-Амуре, Северное шоссе, 151;</w:t>
      </w:r>
      <w:r>
        <w:rPr>
          <w:bCs/>
          <w:strike/>
          <w:color w:val="ff0000"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СП «Нерюнгринская ГРЭС</w:t>
      </w:r>
      <w:r>
        <w:rPr>
          <w:bCs/>
          <w:sz w:val="24"/>
          <w:szCs w:val="24"/>
        </w:rPr>
        <w:t xml:space="preserve">» (НГРЭС)- 678995, Республика Саха (Якутия), п. Серебряный Бор, промышленная зона;</w:t>
      </w:r>
      <w:r>
        <w:rPr>
          <w:bCs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СП «Николаевская ТЭЦ</w:t>
      </w:r>
      <w:r>
        <w:rPr>
          <w:bCs/>
          <w:sz w:val="24"/>
          <w:szCs w:val="24"/>
        </w:rPr>
        <w:t xml:space="preserve">» (НТЭЦ) - 682469 Хабаровский кр., г. Николаевск-на-Амуре, ул. Невельского, 24А;</w:t>
      </w:r>
      <w:r>
        <w:rPr>
          <w:bCs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СП «Партизанская ГРЭС</w:t>
      </w:r>
      <w:r>
        <w:rPr>
          <w:bCs/>
          <w:sz w:val="24"/>
          <w:szCs w:val="24"/>
        </w:rPr>
        <w:t xml:space="preserve">» (ПГРЭС)- 692860, Приморский край, г. Партизанск, ул. Свердлова, 2;</w:t>
      </w:r>
      <w:r>
        <w:rPr>
          <w:bCs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 «Приморские тепловые сети» (ПТС)- 690091, Приморский край, г. Владивосток, ул. Западная, 29;</w:t>
      </w:r>
      <w:r>
        <w:rPr>
          <w:bCs/>
          <w:color w:val="000000"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 «Райчихинская ГРЭС» (РГРЭС)- 676791 Амурская обл., пгт. Прогресс, ул. Бурейская, 1;</w:t>
      </w:r>
      <w:r>
        <w:rPr>
          <w:bCs/>
          <w:color w:val="000000"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 «Хабаровская ТЭЦ-1» (ХТЭЦ-1)- 680015, г.Хабаровск, ул.Узловая,15а;</w:t>
      </w:r>
      <w:r>
        <w:rPr>
          <w:bCs/>
          <w:color w:val="000000"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 «Хабаровская ТЭЦ-2»</w:t>
      </w:r>
      <w:r>
        <w:rPr>
          <w:bCs/>
          <w:color w:val="000000"/>
          <w:sz w:val="24"/>
          <w:szCs w:val="24"/>
        </w:rPr>
        <w:t xml:space="preserve"> (ХТЭЦ-2) - 680026, г. Хабаровск, пер. Сормовский, 1;</w:t>
      </w:r>
      <w:r>
        <w:rPr>
          <w:bCs/>
          <w:color w:val="000000"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 «Хабаровская ТЭЦ-3» (ХТЭЦ-3) </w:t>
      </w:r>
      <w:r>
        <w:rPr>
          <w:bCs/>
          <w:color w:val="000000"/>
          <w:sz w:val="24"/>
          <w:szCs w:val="24"/>
        </w:rPr>
        <w:t xml:space="preserve">- 680025 г. Хабаровск, Федоровское шоссе, 10.</w:t>
      </w:r>
      <w:r>
        <w:rPr>
          <w:bCs/>
          <w:color w:val="000000"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 «Биробиджанская ТЭЦ» (БирТЭЦ) - 679000 – Еврейская автономная область, г. Биробиджан, ул. Шолом-Алейхема, 60.</w:t>
      </w:r>
      <w:r>
        <w:rPr>
          <w:bCs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58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Общий перечень объектов для оказания услуг, указан в Таблице 1.1. «Перечень объектов заказчика»:</w:t>
      </w:r>
      <w:r>
        <w:rPr>
          <w:sz w:val="24"/>
          <w:szCs w:val="24"/>
        </w:rPr>
      </w:r>
    </w:p>
    <w:p>
      <w:pPr>
        <w:pStyle w:val="759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 1.1. Перечень и наименование объектов Заказчика</w:t>
      </w:r>
      <w:r>
        <w:rPr>
          <w:sz w:val="24"/>
          <w:szCs w:val="24"/>
        </w:rPr>
      </w:r>
    </w:p>
    <w:tbl>
      <w:tblPr>
        <w:tblStyle w:val="1040"/>
        <w:tblW w:w="10064" w:type="dxa"/>
        <w:tblInd w:w="142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423"/>
        <w:gridCol w:w="1561"/>
        <w:gridCol w:w="6945"/>
        <w:gridCol w:w="1134"/>
      </w:tblGrid>
      <w:tr>
        <w:tblPrEx/>
        <w:trPr>
          <w:trHeight w:val="810"/>
        </w:trPr>
        <w:tc>
          <w:tcPr>
            <w:shd w:val="clear" w:color="ffffff" w:fill="ffffff"/>
            <w:tcW w:w="423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tabs>
                <w:tab w:val="left" w:pos="142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п/п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Наименование структурного подразделения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Наименование объекта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Объём, м3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10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БирТЭЦ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мазута ст № 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БирТЭЦ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Приемная емкость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30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БирТЭЦ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Приемная лотки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43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БирТЭЦ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запаса мазута ст № 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НГРЭС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мазута - 3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Ø 19,08 х 6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НГРЭС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НВК - Маслосистема смазки ШБМ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1000(в)х1270(д)х1000(ш)</w:t>
            </w:r>
            <w:r>
              <w:rPr>
                <w:color w:val="000000"/>
                <w:sz w:val="20"/>
                <w:lang w:val="ru-RU" w:eastAsia="ru-RU" w:bidi="ar-SA"/>
              </w:rPr>
              <w:br w:type="textWrapping" w:clear="all"/>
            </w:r>
            <w:r>
              <w:rPr>
                <w:color w:val="000000"/>
                <w:sz w:val="20"/>
                <w:lang w:val="ru-RU" w:eastAsia="ru-RU" w:bidi="ar-SA"/>
              </w:rPr>
              <w:t xml:space="preserve">1000(в)х1650(д)х1000(ш)</w:t>
              <w:br/>
              <w:t xml:space="preserve">330(в)х830(д)х290(ш)</w:t>
              <w:br/>
              <w:t xml:space="preserve">330(в)х830(д)х290(ш)</w:t>
              <w:br/>
              <w:t xml:space="preserve">Ø110х370</w:t>
              <w:br/>
              <w:t xml:space="preserve">Ø220х550</w:t>
              <w:br/>
              <w:t xml:space="preserve">Ø60х3</w:t>
              <w:br/>
              <w:t xml:space="preserve">Ø60х3</w:t>
              <w:br/>
              <w:t xml:space="preserve">Ø20х3</w:t>
              <w:br/>
              <w:t xml:space="preserve">Ø89х3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НГРЭС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НВК - Маслосистема СН-2,4</w:t>
            </w:r>
            <w:r>
              <w:rPr>
                <w:b/>
                <w:i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1500(в)х1500(д)х1500(ш)</w:t>
              <w:br/>
              <w:t xml:space="preserve">1000(в)х1700(д)х1200(ш)</w:t>
              <w:br/>
              <w:t xml:space="preserve">230(в)х600(д)х250(ш)</w:t>
              <w:br/>
              <w:t xml:space="preserve">230(в)х600(д)х250(ш)</w:t>
              <w:br/>
              <w:t xml:space="preserve">Ø350х1000</w:t>
              <w:br/>
              <w:t xml:space="preserve">Ø60х3</w:t>
              <w:br/>
              <w:t xml:space="preserve">Ø42х3</w:t>
              <w:br/>
              <w:t xml:space="preserve">Ø42х3</w:t>
              <w:br/>
              <w:t xml:space="preserve">Ø42х3</w:t>
              <w:br/>
              <w:t xml:space="preserve">Ø89х3</w:t>
              <w:br/>
              <w:t xml:space="preserve">Ø60х3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НГРЭС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НВК - Маслосистема СН-3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700(в)х850(д)х600(ш)</w:t>
              <w:br/>
              <w:t xml:space="preserve">Ø280х670</w:t>
              <w:br/>
              <w:t xml:space="preserve">Ø320х730</w:t>
              <w:br/>
              <w:t xml:space="preserve">Ø320х730</w:t>
              <w:br/>
              <w:t xml:space="preserve">Ø60х3</w:t>
              <w:br/>
              <w:t xml:space="preserve">Ø42х3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НВК - Приёмное сливное устройство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(в)1,2х(д)3,0х(ш)1,2</w:t>
              <w:br/>
              <w:t xml:space="preserve">3,8(в)х6,0(д)х6,0(ш)</w:t>
              <w:br/>
              <w:t xml:space="preserve">Ø 325 × 12</w:t>
              <w:br/>
              <w:t xml:space="preserve">Ø 620 × 12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ГМБ (главный маслобак) бл.2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5220 х 3000 х 2155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Мазутный резервуар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300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Мазутный резервуар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300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Трансформаторно го масла №5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75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турбинного масла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50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турбинного масла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50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83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запаса мазута  МБ ст.№1 КЦ-2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5000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запаса мазута  МБ ст.№2 КЦ-2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5000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РВС-2000 №3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2000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РВС-2000 №4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2000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масла МБТ-5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11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масла МБТ-6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11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Приемная ж/б подземная емкость мазута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250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Главный маслобак турбоагрегата ТА2</w:t>
            </w:r>
            <w:r>
              <w:rPr>
                <w:b/>
                <w:i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14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Главный маслобак турбоагрегата ТА3</w:t>
            </w:r>
            <w:r>
              <w:rPr>
                <w:b/>
                <w:i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14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запаса турбинного масла (резервуар)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20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 горизонтальный)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16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ПГРЭС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 горизонтальный)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16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РВС-2000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2000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для хранения трансформаторного масла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80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Маслобак турбоагрегата ТА-1 ПР-25/30-90/10-0,9</w:t>
            </w:r>
            <w:r>
              <w:rPr>
                <w:i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16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Маслобак турбоагрегата ТА-2 ПТ-25/30-90/10-3ПР-2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16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Маслобак турбоагрегата ТА-3 ПР-25/30-90/10-0,9</w:t>
            </w:r>
            <w:r>
              <w:rPr>
                <w:i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16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запаса мазута РВС-10000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10945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Стальной горизонтальный цилиндрический резервуар для топлива РГС-50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50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Стальной горизонтальный цилиндрический резервуар для топлива РГС-70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Стальной прямоугольный резервуар для топлива РКС-12 БАЗС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12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Стальной прямоугольный резервуар для топлива РКС-12 БАЗС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12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№3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549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№5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/>
              <w:ind w:left="0" w:firstLine="0"/>
              <w:jc w:val="center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трансформаторного масла №11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ХТЭЦ-3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трансформаторного масла №12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РВС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5000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РВС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5000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РВС №3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30000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Доливочный маслобак 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2,08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39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Маслосистема ТГ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6,3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Доливочный маслобак №2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2,08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Маслосистема ТГ №3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24,1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Маслосистема ТГ №4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24,1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Малосистема ТГ№1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6,3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УОНС Бак замазученной воды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40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сбора нефтепродуктов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9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отстойник №1 установки очистки нефтесодержащих стоков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40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отстойник №2 установки очистки нефтесодержащих стоков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40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Приемный резервуар установки очистки нефтесодержащих стоков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99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ст.№4 ТТУ КТЦ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2000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Резервуар хранения мазута ст.№3 ВК Дземги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2000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трансформаторного масла (резервуар) объемом 70м3, зав. №б/н, технол. №МБт-5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трансформаторного масла (резервуар) объемом 70м3, зав. №б/н, технол. №МБт-6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трансформаторного масла (резервуар) объемом 70м3, зав. №б/н, технол. №МБт-8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(резервуар) объемом 70м3, зав. №б/н, технол. №МБт-2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(резервуар) объемом 70м3, зав. №б/н, технол. №МБт-9А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(резервуар) объемом 70м3, зав. №б/н, технол. № МБт-1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(резервуар) объемом 70м3, зав. №б/н, технол. № МБт-3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(резервуар) объемом 70м3, зав. №б/н, технол. № МБт-4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трансформаторного масла (резервуар) объемом 70м3, зав. №б/н, технол. № МБт-7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хранения турбинного масла (резервуар) объемом 70м3, зав. №б/н, технол. № МБт-9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Бак мазута №3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2000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 w:eastAsia="ru-RU" w:bidi="ar-SA"/>
              </w:rPr>
              <w:t xml:space="preserve">Маслосистема ТА ст.№1 (Маслопроводы, маслобаки)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ВТЭЦ-2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Приемная емкость МХ (сварной резервуар контейнерного типа) технол. № 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250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ВТЭЦ-2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Цилиндрический вертикальный резервуар хранения турбинного масла ст. № 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ВТЭЦ-2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Цилиндрический вертикальный резервуар хранения турбинного масла № 3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shd w:val="clear" w:color="ffffff" w:themeColor="background1" w:fill="ffffff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70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АТЭЦ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Бак запаса Турбинного масла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36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ХТЭЦ-2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Бак запаса мазута ст. № 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3000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W w:w="423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2"/>
              </w:numPr>
              <w:contextualSpacing w:val="0"/>
              <w:ind w:left="0" w:firstLine="0"/>
              <w:jc w:val="center"/>
              <w:spacing w:before="0" w:after="0"/>
              <w:shd w:val="clear" w:color="ffffff" w:themeColor="background1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ХТЭЦ-2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Приемная емкость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 w:eastAsia="ru-RU" w:bidi="ar-SA"/>
              </w:rPr>
              <w:t xml:space="preserve">250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758"/>
        <w:rPr>
          <w:rFonts w:eastAsia="Calibri"/>
          <w:b/>
          <w:bCs/>
          <w:color w:val="000000" w:themeColor="text1"/>
        </w:rPr>
      </w:pPr>
      <w:r>
        <w:rPr>
          <w:rFonts w:eastAsia="Calibri"/>
          <w:b/>
          <w:bCs/>
          <w:color w:val="000000" w:themeColor="text1"/>
        </w:rPr>
      </w:r>
      <w:r>
        <w:rPr>
          <w:rFonts w:eastAsia="Calibri"/>
          <w:b/>
          <w:bCs/>
          <w:color w:val="000000" w:themeColor="text1"/>
        </w:rPr>
      </w:r>
    </w:p>
    <w:p>
      <w:pPr>
        <w:pStyle w:val="758"/>
        <w:jc w:val="both"/>
        <w:widowControl w:val="off"/>
        <w:tabs>
          <w:tab w:val="left" w:pos="426" w:leader="none"/>
          <w:tab w:val="clear" w:pos="708" w:leader="none"/>
          <w:tab w:val="left" w:pos="992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59"/>
        <w:numPr>
          <w:ilvl w:val="0"/>
          <w:numId w:val="3"/>
        </w:numPr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продукции</w:t>
      </w:r>
      <w:r>
        <w:rPr>
          <w:iCs/>
          <w:caps/>
        </w:rPr>
      </w:r>
    </w:p>
    <w:p>
      <w:pPr>
        <w:pStyle w:val="762"/>
        <w:numPr>
          <w:ilvl w:val="1"/>
          <w:numId w:val="3"/>
        </w:numPr>
      </w:pPr>
      <w:r>
        <w:t xml:space="preserve">Требования к объемам и срокам оказания услуг</w:t>
      </w:r>
      <w:r/>
    </w:p>
    <w:p>
      <w:pPr>
        <w:pStyle w:val="761"/>
        <w:numPr>
          <w:ilvl w:val="2"/>
          <w:numId w:val="3"/>
        </w:numPr>
      </w:pPr>
      <w:r>
        <w:t xml:space="preserve">Требования к срокам оказания услуг</w:t>
      </w:r>
      <w:r/>
    </w:p>
    <w:p>
      <w:pPr>
        <w:pStyle w:val="759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 3. Требования к срокам оказания услуг</w:t>
      </w:r>
      <w:r>
        <w:rPr>
          <w:sz w:val="24"/>
          <w:szCs w:val="24"/>
        </w:rPr>
      </w:r>
    </w:p>
    <w:tbl>
      <w:tblPr>
        <w:tblW w:w="103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5"/>
        <w:gridCol w:w="1986"/>
        <w:gridCol w:w="1841"/>
        <w:gridCol w:w="1561"/>
        <w:gridCol w:w="43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услуг/ этапа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890"/>
              <w:jc w:val="center"/>
              <w:keepNext w:val="0"/>
              <w:spacing w:before="40" w:after="40"/>
              <w:widowControl w:val="off"/>
              <w:rPr>
                <w:szCs w:val="22"/>
              </w:rPr>
            </w:pPr>
            <w:r>
              <w:rPr>
                <w:szCs w:val="22"/>
              </w:rPr>
              <w:t xml:space="preserve">Требования к началу срока оказания услуг/ этапа услуг</w:t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90"/>
              <w:jc w:val="center"/>
              <w:keepNext w:val="0"/>
              <w:spacing w:before="40" w:after="40"/>
              <w:widowControl w:val="off"/>
              <w:rPr>
                <w:szCs w:val="22"/>
              </w:rPr>
            </w:pPr>
            <w:r>
              <w:rPr>
                <w:szCs w:val="22"/>
              </w:rPr>
              <w:t xml:space="preserve">Требования к окончанию срока выполнения услуг / этапа услуг</w:t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textDirection w:val="lrTb"/>
            <w:noWrap w:val="false"/>
          </w:tcPr>
          <w:p>
            <w:pPr>
              <w:pStyle w:val="890"/>
              <w:jc w:val="center"/>
              <w:keepNext w:val="0"/>
              <w:spacing w:before="40" w:after="40"/>
              <w:widowControl w:val="off"/>
              <w:rPr>
                <w:szCs w:val="22"/>
              </w:rPr>
            </w:pPr>
            <w:r>
              <w:rPr>
                <w:szCs w:val="22"/>
              </w:rPr>
              <w:t xml:space="preserve">Примечание</w:t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202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13"/>
              </w:numPr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«ОКПД2 71.20.12.000 Оказание услуг по продлению срока безопасной эксплуатации резервуаров хранения нефтепродуктов, для нужд СП, расположенных в Хабаровском крае, Приморском крае, Амурской области и Республике Саха (Якутия) и ЕАО»</w:t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 даты подписания договора </w:t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31.12.2026</w:t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В соответствии с заявкой Заказчика. 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Заказчик вправе внести изменения в сроки начала оказания услуг без наложения штрафных сан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кций, своевременно предупредив Исполнителя в письменной форме, не позднее 1 числа месяца, предшествующего началу оказания услуг.  Срок проведения экспертизы определяется сложностью объекта экспертизы, но не должен превышать трех месяцев с момента проведени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я технического диагностирования, в ходе которого Исполнитель получает от Заказчика комплект необходимых материалов и документов согласно утвержденному Перечню, представленному Исполнителем Заказчику, при направлении программы технического диагностирования.</w:t>
            </w:r>
            <w:r>
              <w:rPr>
                <w:i/>
                <w:iCs/>
                <w:sz w:val="22"/>
                <w:szCs w:val="22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0" w:bottom="992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62"/>
        <w:numPr>
          <w:ilvl w:val="1"/>
          <w:numId w:val="3"/>
        </w:numPr>
      </w:pPr>
      <w:r/>
      <w:bookmarkStart w:id="2" w:name="_Toc14"/>
      <w:r>
        <w:t xml:space="preserve">Требования к качеству продукции</w:t>
      </w:r>
      <w:bookmarkEnd w:id="2"/>
      <w:r/>
      <w:r/>
    </w:p>
    <w:p>
      <w:pPr>
        <w:pStyle w:val="759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3" w:name="_Toc15"/>
      <w:r>
        <w:rPr>
          <w:sz w:val="24"/>
          <w:szCs w:val="24"/>
        </w:rPr>
        <w:t xml:space="preserve">Таблица 4. Требования к качеству продукции</w:t>
      </w:r>
      <w:bookmarkEnd w:id="3"/>
      <w:r/>
      <w:r>
        <w:rPr>
          <w:sz w:val="24"/>
          <w:szCs w:val="24"/>
        </w:rPr>
      </w:r>
    </w:p>
    <w:p>
      <w:pPr>
        <w:pStyle w:val="758"/>
        <w:rPr>
          <w:rStyle w:val="820"/>
          <w:b w:val="0"/>
        </w:rPr>
      </w:pPr>
      <w:r>
        <w:rPr>
          <w:b w:val="0"/>
        </w:rPr>
      </w:r>
      <w:r>
        <w:rPr>
          <w:rStyle w:val="820"/>
          <w:b w:val="0"/>
        </w:rPr>
      </w:r>
    </w:p>
    <w:p>
      <w:pPr>
        <w:pStyle w:val="758"/>
        <w:jc w:val="both"/>
        <w:rPr>
          <w:rFonts w:eastAsia="Calibri"/>
          <w:b/>
          <w:bCs/>
          <w:i/>
          <w:iCs/>
          <w:sz w:val="22"/>
          <w:szCs w:val="22"/>
        </w:rPr>
      </w:pPr>
      <w:r>
        <w:rPr>
          <w:b/>
          <w:bCs/>
          <w:sz w:val="24"/>
          <w:szCs w:val="24"/>
        </w:rPr>
        <w:t xml:space="preserve">Наименование услуг/этапа услуг (Таблицы 2): </w:t>
      </w:r>
      <w:r>
        <w:rPr>
          <w:rFonts w:eastAsia="Calibri"/>
          <w:b/>
          <w:bCs/>
          <w:i/>
          <w:iCs/>
          <w:sz w:val="24"/>
          <w:szCs w:val="24"/>
        </w:rPr>
        <w:t xml:space="preserve">«ОКПД2 71.20.12.000 Оказание услуг по продлению срока безопасной эксплуатации резервуаров хранения нефтепродуктов, для нужд СП, расположенных в Хабаровском крае, Приморском крае, Амурской области и Республике Саха (Якутия) и ЕАО»:</w:t>
      </w:r>
      <w:r>
        <w:rPr>
          <w:rFonts w:eastAsia="Calibri"/>
          <w:b/>
          <w:bCs/>
          <w:i/>
          <w:iCs/>
          <w:sz w:val="22"/>
          <w:szCs w:val="22"/>
        </w:rPr>
      </w:r>
    </w:p>
    <w:tbl>
      <w:tblPr>
        <w:tblStyle w:val="1040"/>
        <w:tblW w:w="15312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1989"/>
        <w:gridCol w:w="5244"/>
        <w:gridCol w:w="2692"/>
        <w:gridCol w:w="2834"/>
        <w:gridCol w:w="1701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9" w:type="dxa"/>
            <w:vAlign w:val="center"/>
            <w:vMerge w:val="restart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244" w:type="dxa"/>
            <w:vAlign w:val="center"/>
            <w:vMerge w:val="restart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526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9" w:type="dxa"/>
            <w:vAlign w:val="center"/>
            <w:vMerge w:val="continue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244" w:type="dxa"/>
            <w:vAlign w:val="center"/>
            <w:vMerge w:val="continue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9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24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4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оказанию услуг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оказанию услуг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auto" w:fill="auto"/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Услуги должны проводиться в соответствии с действующими нормативными документами: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ind w:firstLine="196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Федеральным законом №116-ФЗ «О промышленной безопасности опасных производственных объектов» от 21.07.1997;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ind w:firstLine="196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Федерального закона №184-ФЗ «О техническом регулировании» от 27.12.2002;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Федеральные нормы и правила в области промышленной безопасности «Правила промышленной безопасности складов нефти и нефтепродуктов», утв. приказом Ростехнадзора от 15.12.2020 №529;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Руководство по безопасности для нефтебаз и складов нефтепродуктов, утвержденного приказом Ростехнадзора от 26.12.2012 №777;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val="ru-RU" w:eastAsia="ru-RU" w:bidi="ar-SA"/>
              </w:rPr>
              <w:t xml:space="preserve">Положение о системе технического диагностирования сварных вертикальных цили</w:t>
            </w:r>
            <w:r>
              <w:rPr>
                <w:sz w:val="24"/>
                <w:lang w:val="ru-RU" w:eastAsia="ru-RU" w:bidi="ar-SA"/>
              </w:rPr>
              <w:t xml:space="preserve">ндрических резервуаров для нефти и нефтепродуктов. РД 08-95-95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Правила технической эксплуатации электрических станций и сетей Российской Федерации, утвержденные приказом Минэнерго России от 04.10.2022 №1070;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Федеральные нормы и правила в области промышленной безопасности «Правила безопасности химически опасных производственных объектов», утвержденные приказом Ростехнадзора от 07.12.2020 №500;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Федеральные нормы и правила в области промышленной безопасности «Правила проведения экспертизы промышленной безопасности», утвержденные приказом Ростехнадзора от 20.10.2020 №420;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0"/>
              </w:numPr>
              <w:ind w:left="0" w:firstLine="0"/>
              <w:jc w:val="both"/>
              <w:keepLines/>
              <w:keepNext/>
              <w:spacing w:before="0" w:after="0"/>
              <w:widowControl w:val="off"/>
              <w:tabs>
                <w:tab w:val="left" w:pos="360" w:leader="none"/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Инструкция по диагностике и оценке остаточного ресурса стальных вертикальных резервуаров (РД 153-112-017-97);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 другие действующие нормативные документы (ГОСТ, ОСТ, ТУ, ПБ и т.д.), или вступившие в действие во время выполнения оказания Услуг.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ГОСТ 31937-2024 «Здания и сооружения. Правила обследования и мониторинга технического состояния» </w:t>
            </w:r>
            <w:r>
              <w:rPr>
                <w:iCs/>
                <w:sz w:val="24"/>
                <w:szCs w:val="24"/>
                <w:lang w:val="ru-RU" w:eastAsia="ru-RU" w:bidi="ar-SA"/>
              </w:rPr>
              <w:t xml:space="preserve">и другая нормативная документация, необходимая для оказания Услуг.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</w:rPr>
              <w:outlineLvl w:val="2"/>
            </w:pPr>
            <w:r>
              <w:rPr>
                <w:rFonts w:eastAsia="Times New Roman" w:cs="Arial Unicode MS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shd w:val="clear" w:color="auto" w:fill="auto"/>
            <w:tcW w:w="7233" w:type="dxa"/>
            <w:textDirection w:val="lrTb"/>
            <w:noWrap w:val="false"/>
          </w:tcPr>
          <w:p>
            <w:pPr>
              <w:pStyle w:val="758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auto" w:fill="auto"/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Непосредственное участие персонала Исполнителя в э</w:t>
            </w: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кспертизе промышленной безопасности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При оказании услуг, Исполнитель осуществляет выезды на каждый объект</w:t>
            </w:r>
            <w:r>
              <w:rPr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rPr>
                <w:b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процедурам оказания услуг</w:t>
            </w:r>
            <w:r>
              <w:rPr>
                <w:b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Организационные технические мероприятия по допуску персонала исполнителя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 течение 10 (десяти) рабочих дней с даты заключения договора, предоставить</w:t>
            </w:r>
            <w:r>
              <w:rPr>
                <w:sz w:val="24"/>
                <w:szCs w:val="24"/>
                <w:lang w:val="ru-RU" w:eastAsia="ru-RU" w:bidi="ar-SA"/>
              </w:rPr>
              <w:t xml:space="preserve"> на согласование представителям Заказчика, уполномоченным на оперативное рассмотрение и решение технических и организационных вопросов, связанных с оказанием Услуг, программы технического диагностирования по объектам, указанным в Таблице 1.1, раздела 1 ТТ.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 w:cs="Arial Unicode MS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Соблюдение режима охраны объекта</w:t>
            </w:r>
            <w:r>
              <w:rPr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Не позднее, чем за 10 дней до начала оказания услуг, Исполнитель обязан оформить допуск (списки лиц персонала, перечень оборудования и средств измерений) для оказания услуг на территории объекта.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Оказание услуг проводится в соответствии с требованиями Положения о допуске персонала подрядных организаций к выполнению работ на объектах АО «ДГК» 22.1-504-2023 , утв. приказом АО «ДГК» от 28.07.2023 №534.</w:t>
            </w: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 w:cs="Arial Unicode MS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90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60" w:after="6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1.3.3.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Объем услуг по э</w:t>
            </w: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кспертизе промышленной безопасности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ind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1. Подбор требуемых для технического диагностирования материалов, в т.ч. проектной, конструкторской, эксплуатационной, ремонтной документации, паспорта технических устройств, инструкции, технологические регламенты и др.;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tabs>
                <w:tab w:val="left" w:pos="452" w:leader="none"/>
                <w:tab w:val="clear" w:pos="708" w:leader="none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2. Разработка организационно-методических документов по выполнению отдельных услуг;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tabs>
                <w:tab w:val="left" w:pos="452" w:leader="none"/>
                <w:tab w:val="clear" w:pos="708" w:leader="none"/>
              </w:tabs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3. Сбор, анализ и обобщение имеющейся на начало услуг информации о надежности оборудования. 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tabs>
                <w:tab w:val="left" w:pos="452" w:leader="none"/>
                <w:tab w:val="clear" w:pos="708" w:leader="none"/>
              </w:tabs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4. 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Исполнитель обязан провест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и ЭПБ, неразрушающий контроль и другие виды исследований на основе согласованной с Заказчиком Программы проведения ЭПБ резервуаров. Программа должна учитывать конструктивные особенности, техническое состояние и условия эксплуатации обследуемых резервуаров.</w:t>
            </w:r>
            <w:r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tabs>
                <w:tab w:val="left" w:pos="452" w:leader="none"/>
                <w:tab w:val="clear" w:pos="708" w:leader="none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5. Техническое диагностирование: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tabs>
                <w:tab w:val="left" w:pos="452" w:leader="none"/>
                <w:tab w:val="clear" w:pos="708" w:leader="none"/>
              </w:tabs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- анализ эксплуатационной, проектной и ремонтной документации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для ознакомления с конструктивными особенностями, материалами, технологией изготовления и условиями эксплуатации, а также с результатами его эксплуатационного контроля с целью выявления возможных мест (зон) образования дефектов. 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 Произвести сравнительный анализ устранения замечаний по результатам предыдущих диагностирований, экспертиз при наличии сведений. Анализ документации объектов контроля проводится до н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ачала проведения технического диагностирования. По результатам анализа документации уточняется программа проведения ЭПБ. В случае выявления отсутствия схемы контроля (диагностирования) резервуара, либо в случае обнаружения несоответствий в имеющихся схемах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 контроля Исполнитель актуализирует имеющуюся / разрабатывает новую схему и предоставляет Заказчику в бумажном и электронном виде (в программе MS Visio). На схеме контроля указывается развертка резервуара, штуцера, КИПИА, сварные соединения и др. элементы.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- Визуальный и измерительный контроль оборуд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ования, основного металла и сварных соединений элементов металлоконструкций резервуара с наружной и внутренней стороны. Визуальный и измерительный контроль в 100 % объеме. При отсутствии доступа провести контроль с помощью эндоскопа (оптического контроля);</w:t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- Нивелирование наружного контура днища, фундамента шахтной лестницы;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- Измерение геометрической формы элементов резервуара: отклонений, об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разующих стенки от вертикали на уровне верха каждого пояса, местных отклонений от проектной формы стенки (вмятин, вьпучин) и угловатости в зонах монтажных сварных соединений, проверку вертикальности центральной и направляющих трубчатых стоек (при наличии);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- Ультразвуковая толщинометрия основных элементов (поясов стенки, листов днища, кровли, ПРП, крыши, центральной и направляющих стоек понтона, всех патрубков и люков, их укрепляющих накладок, крышек люков).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Контроль качества сварных соединений и основного металла элементов металл</w:t>
            </w:r>
            <w:r>
              <w:rPr>
                <w:color w:val="000000" w:themeColor="text1"/>
                <w:lang w:val="ru-RU" w:eastAsia="ru-RU" w:bidi="ar-SA"/>
              </w:rPr>
              <w:t xml:space="preserve">оконструкций резервуара неразрушающими методами контроля. В соответствии с РД 08-95-95 контроль сварных соединений проводится неразрушающими методами - ультразвуковым, магнитопорошковым, рентгеновским. Контроль монтажного шва осуществляется в объеме 100%. 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Измерение твердости основного металла и сварных соединений. Выборочная проверка твердости основного металла и сварных соединений проводится в местах, определяемых экспертом, проводящим диагностирование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Исследование металла и сварных соединений. Механические испытания, химический анализ </w:t>
            </w:r>
            <w:r>
              <w:rPr>
                <w:color w:val="000000" w:themeColor="text1"/>
                <w:lang w:val="ru-RU" w:eastAsia="ru-RU" w:bidi="ar-SA"/>
              </w:rPr>
              <w:t xml:space="preserve">и металлографические исследования металла и сварных соединений проводятся при отсутствии данных о первоначальных свойствах основного металла и сварных соединений, наличии значительных коррозионных повреждений, появлении трещин в различных конструкциях и в </w:t>
            </w:r>
            <w:r>
              <w:rPr>
                <w:color w:val="000000" w:themeColor="text1"/>
                <w:lang w:val="ru-RU" w:eastAsia="ru-RU" w:bidi="ar-SA"/>
              </w:rPr>
              <w:t xml:space="preserve">других случаях, когда предполагаются ухудшения механических свойств, усталость при действии переменных или знакопеременных нагрузок, перегревы, действие чрезмерно высоких нагрузок. Исследование металла и сварных соединений проводится безобразцовым методом.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проверка состояния лестниц (шахтной, спиральной, пожарных), площадок, переходов, ограждений - элементов, обеспечивающих безопасность работы персонала;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проверка правильности размещения оборудования на стенке (относительно сварных соединений) и кровле резервуара, наличия и размеров усиливающих накладок, состояния ПРП и стенки резервуара в местах их врезки;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проверка состояния основания и отмостки;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проверка молниезащиты и заземления;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выполнить проверку исправности дренажей и отсутствие защемлений трубопроводов;</w:t>
            </w:r>
            <w:r>
              <w:rPr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выполнить 100% наружный осмотр изоляции с целью определения дефектов и повреждений и с указанием мест дефектов и повреждений на схемах (картах дефектов) с привязками к опорам;</w:t>
            </w:r>
            <w:r>
              <w:rPr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выполнить измерение овальности;</w:t>
            </w:r>
            <w:r>
              <w:rPr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произвести оценку качества соединений элементов с указанием причин появления дефектов;</w:t>
            </w:r>
            <w:r>
              <w:rPr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определение содержания элементов металла методом спектрального анализа безобразцовым способом;</w:t>
            </w:r>
            <w:r>
              <w:rPr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угловые швы, выполненные с конструктивным непроваром, контролировать методом МПК (ЦД) в сочетании с измерительным контролем размеров и формы шва;</w:t>
            </w:r>
            <w:r>
              <w:rPr>
                <w:color w:val="000000" w:themeColor="text1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выполнить контроль методом МПД (ЦД) всех сомнительных участков и зон в элементах по результатам визуального контроля;</w:t>
            </w:r>
            <w:r>
              <w:rPr>
                <w:color w:val="000000" w:themeColor="text1"/>
              </w:rPr>
            </w:r>
          </w:p>
          <w:p>
            <w:pPr>
              <w:pStyle w:val="874"/>
              <w:contextualSpacing/>
              <w:ind w:left="0" w:firstLine="0"/>
              <w:jc w:val="both"/>
              <w:spacing w:before="0" w:after="0"/>
              <w:widowControl w:val="off"/>
              <w:tabs>
                <w:tab w:val="clear" w:pos="708" w:leader="none"/>
                <w:tab w:val="left" w:pos="810" w:leader="none"/>
              </w:tabs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испытания на прочность и плотность. Испытание резервуара и оформление акта испытаний проводит Заказчик. Исполнитель контролирует проведение испытаний и участвует в приемке. Дополнительно при проведении испытан</w:t>
            </w:r>
            <w:r>
              <w:rPr>
                <w:color w:val="000000" w:themeColor="text1"/>
                <w:lang w:val="ru-RU" w:eastAsia="ru-RU" w:bidi="ar-SA"/>
              </w:rPr>
              <w:t xml:space="preserve">ий резервуара может быть применен метод акустико-эмиссионного контроля. Необходимость использования акустико-эмиссионного метода контроля при проведении испытаний резервуара определяется экспертом, проводящим диагностирование, по согласованию с Заказчиком.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874"/>
              <w:contextualSpacing/>
              <w:ind w:left="0" w:firstLine="0"/>
              <w:jc w:val="both"/>
              <w:spacing w:before="0" w:after="0"/>
              <w:widowControl w:val="off"/>
              <w:tabs>
                <w:tab w:val="clear" w:pos="708" w:leader="none"/>
                <w:tab w:val="left" w:pos="810" w:leader="none"/>
              </w:tabs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выполнить расчет на прочность с учетом результатов технического диагностирования. В расчётах учитываются фактические значения толщин стенок элементов, размер</w:t>
            </w:r>
            <w:r>
              <w:rPr>
                <w:color w:val="000000" w:themeColor="text1"/>
                <w:lang w:val="ru-RU" w:eastAsia="ru-RU" w:bidi="ar-SA"/>
              </w:rPr>
              <w:t xml:space="preserve">ы и расположение выявленных дефектов, результаты исследования свойств металла. Расчёты на прочность выполняются на основании требований действующих нормативных документов. Определение отбраковочной толщины настила крыши (плавающей крыши), поясов стенки, дн</w:t>
            </w:r>
            <w:r>
              <w:rPr>
                <w:color w:val="000000" w:themeColor="text1"/>
                <w:lang w:val="ru-RU" w:eastAsia="ru-RU" w:bidi="ar-SA"/>
              </w:rPr>
              <w:t xml:space="preserve">ища, обечаек патрубков и люков, элементов каркаса крыши, элементов понтона, для резервуаров, которые по типоразмеру не подпадают под требования нормативных документов по отбраковочным величинам, либо таковые требования по отбраковочной толщине отсутствуют.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874"/>
              <w:contextualSpacing/>
              <w:ind w:left="0" w:firstLine="0"/>
              <w:jc w:val="both"/>
              <w:spacing w:before="0" w:after="0"/>
              <w:widowControl w:val="off"/>
              <w:tabs>
                <w:tab w:val="clear" w:pos="708" w:leader="none"/>
                <w:tab w:val="left" w:pos="81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- выполнить оценку остаточного ресурса элементов.</w:t>
            </w:r>
            <w:r>
              <w:rPr>
                <w:color w:val="000000" w:themeColor="text1"/>
              </w:rPr>
            </w:r>
          </w:p>
          <w:p>
            <w:pPr>
              <w:pStyle w:val="874"/>
              <w:contextualSpacing/>
              <w:ind w:left="0" w:firstLine="0"/>
              <w:jc w:val="both"/>
              <w:spacing w:before="0" w:after="0"/>
              <w:widowControl w:val="off"/>
              <w:tabs>
                <w:tab w:val="clear" w:pos="708" w:leader="none"/>
                <w:tab w:val="left" w:pos="810" w:leader="none"/>
              </w:tabs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  <w:lang w:val="ru-RU" w:eastAsia="ru-RU" w:bidi="ar-SA"/>
              </w:rPr>
              <w:t xml:space="preserve">6. Обследование строительных конструкций:</w:t>
            </w:r>
            <w:r>
              <w:rPr>
                <w:i/>
                <w:iCs/>
                <w:color w:val="000000" w:themeColor="text1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определение фактических размеров сечений строительных конструкций и соединений, их пространственное положение;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проверка со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ответствия строительных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повреждений, карт дефектов и повреждений;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142"/>
              <w:jc w:val="both"/>
              <w:spacing w:before="0" w:after="0"/>
              <w:widowControl w:val="off"/>
              <w:tabs>
                <w:tab w:val="left" w:pos="425" w:leader="none"/>
                <w:tab w:val="clear" w:pos="708" w:leader="none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установление фактических физико-механических свойств материалов конструкций;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142"/>
              <w:jc w:val="both"/>
              <w:keepLines/>
              <w:keepNext/>
              <w:spacing w:before="0" w:after="0"/>
              <w:widowControl w:val="off"/>
              <w:tabs>
                <w:tab w:val="left" w:pos="425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- определение деформаций сооружений по ГОСТ 24846-2019;</w:t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определение повреждения фундаментов и прочности материалов их конструкций по косвенным признакам;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сплошное визуальное обследование конструкций и выявление дефектов и повреждений по внешним признакам с необходимыми замерами и их фиксация;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инструментальное определение параметров дефектов и повреждений;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определение фактических прочностных характеристик материало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в основных несущих конструкций и их элементов (при отсутствии сертификатов на материалы конструкций). При обследовании конструкций для определения прочности бетона необходимо руководствоваться требованиями ГОСТ 22690-2015, ГОСТ 17624-2021, ГОСТ 28570-2019;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определение толщины защитного слоя бетона в железобетонных конструкциях;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выявление причин дефектов и повреждений и определения мероприятий по усилению строительных конструкций;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оценка коррози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онных повреждений стальных конструкций, определение вида коррозии и ее качественные (плотность, структура, цвет, химический состав и др.) и количественные (площадь, глубина коррозионных язв, значение потери сечения, скорость коррозии и др.) характеристики;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выборочное вскрытие узлов сопряжения строительных конструкций, а также отделочных и изоляционных слоев с последующим восстановлением вскрытых участков (при необходимости);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11"/>
              </w:numPr>
              <w:ind w:left="0" w:firstLine="337"/>
              <w:jc w:val="both"/>
              <w:spacing w:before="0" w:after="0"/>
              <w:widowControl w:val="off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 w:bidi="ar-SA"/>
              </w:rPr>
              <w:t xml:space="preserve">выполнить обмерные чертежи строительных конструкций с указанием отклонений фактических размеров от проектных (при наличии проектной документации).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rPr>
                <w:rFonts w:eastAsia="TimesNew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7. А</w:t>
            </w:r>
            <w:r>
              <w:rPr>
                <w:rFonts w:eastAsia="TimesNewRoman"/>
                <w:sz w:val="24"/>
                <w:szCs w:val="24"/>
                <w:lang w:val="ru-RU" w:eastAsia="ru-RU" w:bidi="ar-SA"/>
              </w:rPr>
              <w:t xml:space="preserve">нализ результатов технического диагностирования;</w:t>
            </w:r>
            <w:r>
              <w:rPr>
                <w:rFonts w:eastAsia="TimesNewRoman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  <w:lang w:val="ru-RU" w:eastAsia="ru-RU" w:bidi="ar-SA"/>
              </w:rPr>
              <w:t xml:space="preserve">8. Контрольный расчёт на прочность с оценкой при необходимости остаточного (индивидуального) ресурса;</w:t>
            </w:r>
            <w:r>
              <w:rPr>
                <w:rFonts w:eastAsia="TimesNewRoman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  <w:lang w:val="ru-RU" w:eastAsia="ru-RU" w:bidi="ar-SA"/>
              </w:rPr>
              <w:t xml:space="preserve">9. Обобщающий анализ результатов обследования и расчётов на прочность с установлением дополнительного назначенного ресурса или срока службы;</w:t>
            </w:r>
            <w:r>
              <w:rPr>
                <w:rFonts w:eastAsia="TimesNewRoman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10. Прогнозирование возможности, рабочих параметров дальнейшей безопасной эксплуатации оборудования, а также периодичности и методов последующего контроля.</w:t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shd w:val="clear" w:color="auto" w:fill="ffffff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11. Оформление и выдача Заказчику Акта о проведённом техническом диагностировании с выводами о техническом состоянии элементов энергооборудования.</w:t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shd w:val="clear" w:color="auto" w:fill="ffffff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12. </w:t>
            </w:r>
            <w:r>
              <w:rPr>
                <w:sz w:val="24"/>
                <w:szCs w:val="24"/>
                <w:lang w:val="ru-RU" w:eastAsia="ru-RU" w:bidi="ar-SA"/>
              </w:rPr>
              <w:t xml:space="preserve">Проведение расчётных и аналитических процедур оценки и прогнозирования технического состояни</w:t>
            </w:r>
            <w:r>
              <w:rPr>
                <w:sz w:val="24"/>
                <w:szCs w:val="24"/>
                <w:lang w:val="ru-RU" w:eastAsia="ru-RU" w:bidi="ar-SA"/>
              </w:rPr>
              <w:t xml:space="preserve">я объекта экспертизы, включающие 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дальнейшей безопасной эксплуатации.</w:t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shd w:val="clear" w:color="auto" w:fill="ffffff"/>
              <w:widowControl w:val="off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13. Обобщение результатов технического диагностирования, экспертизы, выработка компенсирующих мероприятий.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pStyle w:val="758"/>
              <w:ind w:firstLine="337"/>
              <w:jc w:val="both"/>
              <w:spacing w:before="0" w:after="0"/>
              <w:shd w:val="clear" w:color="auto" w:fill="ffffff"/>
              <w:widowControl w:val="off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14.</w:t>
            </w:r>
            <w:r>
              <w:rPr>
                <w:rFonts w:eastAsia="Calibri"/>
                <w:i/>
                <w:iCs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Оформлени</w:t>
            </w: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е и выдача Заказчику Заключения экспертизы промышленной безопасности в установленном порядке с выводами о возможности продления срока безопасной эксплуатации ответственных элементов технических устройств не позднее 3-х месяцев с даты начала оказания услуг.</w:t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rFonts w:eastAsia="Calibri"/>
                <w:sz w:val="24"/>
                <w:szCs w:val="24"/>
                <w:highlight w:val="green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rFonts w:eastAsia="Calibri"/>
                <w:sz w:val="24"/>
                <w:szCs w:val="24"/>
                <w:highlight w:val="green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 w:cs="Arial Unicode MS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оборудованию (измерительные средства измерений)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Наличие оборудования для оказания услуг, требуемых в рамках области аккредитации лаборатории разрушающего контроля и аттестации лаборатории неразрушающего контроля</w:t>
            </w:r>
            <w:r>
              <w:rPr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персоналу исполнителя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Безопасность оказания услуг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Работники, привлекаемые к оказанию данных услуг, должны быть обеспечены спецодеждой и средствами индивидуальной защиты.</w:t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При оказании услуг Исполнитель несёт ответственность за соблюдение Правил техники безопасности при эксплуатации при эксплуатации тепло</w:t>
            </w:r>
            <w:r>
              <w:rPr>
                <w:sz w:val="24"/>
                <w:szCs w:val="24"/>
                <w:lang w:val="ru-RU" w:eastAsia="ru-RU" w:bidi="ar-SA"/>
              </w:rPr>
              <w:t xml:space="preserve">механического оборудования электростанций и тепловых сетей, утвержденных заместителем министра Министерства топлива и энергетики РФ 02.04.1997 (РД 34.03.201-97), и других требований ОТ, ТБ, ППБ, промышленной безопасности объектов и охраны окружающей среды.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Вывод из эксплуатации объектов для проведения обследования осуществляется представителями Заказчика.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  <w:lang w:val="ru-RU" w:eastAsia="ru-RU" w:bidi="ar-SA"/>
              </w:rPr>
              <w:t xml:space="preserve">слуг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Результат оказания услуг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Результаты проведения экспертизы промышленной </w:t>
            </w: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безопасности оформляются в виде заключения, которое подписывается руководителем организации, проводившей экспертизу промышленной безопасности, и экспертом или экспертами в области промышленной безопасности, участвовавшими в проведении указанной экспертизы.</w:t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ru-RU" w:eastAsia="ru-RU" w:bidi="ar-SA"/>
              </w:rPr>
              <w:t xml:space="preserve">Заключение экспертизы должно содержать: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титульный лист с ук</w:t>
            </w:r>
            <w:r>
              <w:rPr>
                <w:sz w:val="24"/>
                <w:szCs w:val="24"/>
                <w:lang w:val="ru-RU" w:eastAsia="ru-RU" w:bidi="ar-SA"/>
              </w:rPr>
              <w:t xml:space="preserve">азанием наименования заключения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вводную часть, включающую: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положения нормативных правовых актов в области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промышленной</w:t>
            </w: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безопасности</w:t>
            </w:r>
            <w:r>
              <w:rPr>
                <w:sz w:val="24"/>
                <w:szCs w:val="24"/>
                <w:lang w:val="ru-RU" w:eastAsia="ru-RU" w:bidi="ar-SA"/>
              </w:rPr>
              <w:t xml:space="preserve"> (пункт, подпункт, часть, статья), устанавливающих требования к объекту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, и на соответствие, которым проводится оценка соответствия объекта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сведения об экспертной организации (наименование организации, организационно-правовая форма организации, адрес места нахождения, номер телефона, факса, дата выдачи и номер лицензии на деятельность по проведению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промышленной</w:t>
            </w: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безопасности</w:t>
            </w:r>
            <w:r>
              <w:rPr>
                <w:sz w:val="24"/>
                <w:szCs w:val="24"/>
                <w:lang w:val="ru-RU" w:eastAsia="ru-RU" w:bidi="ar-SA"/>
              </w:rPr>
              <w:t xml:space="preserve">);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сведения об экспертах, принимавших участие в проведении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 (фамилия, имя, отчество, регистрационный номер квалификационного удостоверения эксперта). 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перечень объектов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, на которые распространяется действие заключения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данные о заказчике (наименование организации, организационно-правовая форма организации, адрес местонахождения);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цель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сведения о рассмотренных в процессе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 документах с указанием объёма материалов, имеющих шифр, номер, марку или другую индикацию, необходимую для идентификации;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краткую характеристику и назначение объекта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результаты</w:t>
            </w:r>
            <w:r>
              <w:rPr>
                <w:sz w:val="24"/>
                <w:szCs w:val="24"/>
                <w:lang w:val="ru-RU" w:eastAsia="ru-RU" w:bidi="ar-SA"/>
              </w:rPr>
              <w:t xml:space="preserve"> проведенной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 со ссылками на положения нормативных правовых актов в области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промышленной</w:t>
            </w: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безопасности</w:t>
            </w:r>
            <w:r>
              <w:rPr>
                <w:sz w:val="24"/>
                <w:szCs w:val="24"/>
                <w:lang w:val="ru-RU" w:eastAsia="ru-RU" w:bidi="ar-SA"/>
              </w:rPr>
              <w:t xml:space="preserve">, на соответствие которым проводилась оценка соответствия объекта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экспертизы</w:t>
            </w:r>
            <w:r>
              <w:rPr>
                <w:sz w:val="24"/>
                <w:szCs w:val="24"/>
                <w:lang w:val="ru-RU" w:eastAsia="ru-RU" w:bidi="ar-SA"/>
              </w:rPr>
              <w:t xml:space="preserve"> требованиям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промышленной</w:t>
            </w: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безопасности</w:t>
            </w:r>
            <w:r>
              <w:rPr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выводы заключения экспертизы;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материалы, обосновывающие выводы заключения экспертизы промышленной безопасности.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 приложении приводятся рез</w:t>
            </w:r>
            <w:r>
              <w:rPr>
                <w:sz w:val="24"/>
                <w:szCs w:val="24"/>
                <w:lang w:val="ru-RU" w:eastAsia="ru-RU" w:bidi="ar-SA"/>
              </w:rPr>
              <w:t xml:space="preserve">ультаты проведённого комплексного обследования, акт оказания услуг, который подписывается лицами, выполнявшими услуги и руководителем, проводившей их организации или руководителем организации, проводящей экспертизу и прикладывается к заключению экспертизы.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shd w:val="clear" w:color="auto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Информация, содержащая сведения по итогам технического диагностирования, должна в кратком виде входить в Заключение экспертизы промышленной безопасности.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 результатам экспертизы объекта в заключении экспертизы дополнительно приводятся расчетные и аналитические процедуры оценки и прогнозирования технического состоян</w:t>
            </w:r>
            <w:r>
              <w:rPr>
                <w:sz w:val="24"/>
                <w:szCs w:val="24"/>
                <w:lang w:val="ru-RU" w:eastAsia="ru-RU" w:bidi="ar-SA"/>
              </w:rPr>
              <w:t xml:space="preserve">ия объекта экспертизы, включающие 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дальнейшей безопасной эксплуатации</w:t>
            </w:r>
            <w:bookmarkStart w:id="4" w:name="undefined"/>
            <w:r>
              <w:rPr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Заключение экспертизы содержит один из следующих выводов о соответствии объекта экспертизы требованиям промышленной безопасности:</w:t>
            </w:r>
            <w:bookmarkEnd w:id="4"/>
            <w:r/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874"/>
              <w:numPr>
                <w:ilvl w:val="0"/>
                <w:numId w:val="8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объект экспертизы соответствует требованиям промышленной безопасности;</w:t>
            </w:r>
            <w:r>
              <w:rPr>
                <w:lang w:val="ru-RU" w:eastAsia="ru-RU" w:bidi="ar-SA"/>
              </w:rPr>
            </w:r>
          </w:p>
          <w:p>
            <w:pPr>
              <w:pStyle w:val="874"/>
              <w:numPr>
                <w:ilvl w:val="0"/>
                <w:numId w:val="8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lang w:val="ru-RU" w:eastAsia="ru-RU" w:bidi="ar-SA"/>
              </w:rPr>
            </w:pPr>
            <w:r/>
            <w:bookmarkStart w:id="5" w:name="P009E"/>
            <w:r/>
            <w:bookmarkStart w:id="6" w:name="P00A0"/>
            <w:r/>
            <w:bookmarkEnd w:id="5"/>
            <w:r/>
            <w:bookmarkEnd w:id="6"/>
            <w:r>
              <w:rPr>
                <w:lang w:val="ru-RU" w:eastAsia="ru-RU" w:bidi="ar-SA"/>
              </w:rPr>
              <w:t xml:space="preserve">объект экспертизы не соответствует требованиям промышленной безопасности.</w:t>
            </w:r>
            <w:r>
              <w:rPr>
                <w:lang w:val="ru-RU" w:eastAsia="ru-RU" w:bidi="ar-SA"/>
              </w:rPr>
            </w:r>
          </w:p>
          <w:p>
            <w:pPr>
              <w:pStyle w:val="758"/>
              <w:contextualSpacing/>
              <w:ind w:left="20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jc w:val="both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 результат</w:t>
            </w:r>
            <w:r>
              <w:rPr>
                <w:sz w:val="24"/>
                <w:szCs w:val="24"/>
                <w:lang w:val="ru-RU" w:eastAsia="ru-RU" w:bidi="ar-SA"/>
              </w:rPr>
              <w:t xml:space="preserve">ам оказанных услуг Исполнитель должен представить Заключения экспертизы промышленной безопасности с выводами о возможности продления срока безопасной эксплуатации, корректирующими мероприятиями по обеспечению безопасной эксплуатации на продлеваемый период.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 w:cs="Arial Unicode MS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приемке результата оказания у</w:t>
            </w:r>
            <w:r>
              <w:rPr>
                <w:b/>
                <w:sz w:val="24"/>
                <w:szCs w:val="24"/>
                <w:lang w:val="ru-RU" w:eastAsia="ru-RU" w:bidi="ar-SA"/>
              </w:rPr>
              <w:t xml:space="preserve">слуг</w:t>
            </w:r>
            <w:r>
              <w:rPr>
                <w:rStyle w:val="820"/>
                <w:b w:val="0"/>
                <w:bCs/>
                <w:i w:val="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Продление срока безопасной эксплуатации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numPr>
                <w:ilvl w:val="0"/>
                <w:numId w:val="9"/>
              </w:numPr>
              <w:ind w:left="0" w:firstLine="0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Согласовывать с Заказчиком мероприятия и сроки их выполнения по устранению замечаний, выявленных в ходе проведения экспертизы объекта;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9"/>
              </w:numPr>
              <w:ind w:left="0" w:firstLine="0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709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предоставить на согласование Заказчику проект заключения по результатам проведённой экспертизы промышленной безопасности каждого объекта.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документации, описывающей результат оказания услуг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оформлению Заключения экспертизы промышленной безопасности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numPr>
                <w:ilvl w:val="0"/>
                <w:numId w:val="9"/>
              </w:numPr>
              <w:ind w:left="0" w:firstLine="0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Заключение ЭПБ, предоставляется в письменной форме (на бумажном носителе), которое подписывается руководителем организации, проводившей экспертизу, и экспертом (экспертами), участвовавшим (участвовавшими) в проведении экспертизы,</w:t>
            </w:r>
            <w:r>
              <w:rPr>
                <w:sz w:val="24"/>
                <w:szCs w:val="24"/>
              </w:rPr>
            </w:r>
          </w:p>
          <w:p>
            <w:pPr>
              <w:pStyle w:val="758"/>
              <w:numPr>
                <w:ilvl w:val="0"/>
                <w:numId w:val="9"/>
              </w:numPr>
              <w:ind w:left="0" w:firstLine="0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 приложением электронного носителя (CD-R, CD-RW или DVD-R, DVD-RW дисках), содер</w:t>
            </w:r>
            <w:r>
              <w:rPr>
                <w:sz w:val="24"/>
                <w:szCs w:val="24"/>
                <w:lang w:val="ru-RU" w:eastAsia="ru-RU" w:bidi="ar-SA"/>
              </w:rPr>
              <w:t xml:space="preserve">жащего электронную копию такого заключения экспертизы промышленной безопасности, а также в форме электронного документа, подписанного квалифицированными электронными подписями руководителя организации, проводившей экспертизу, и эксперта (экспертов), участв</w:t>
            </w:r>
            <w:r>
              <w:rPr>
                <w:sz w:val="24"/>
                <w:szCs w:val="24"/>
                <w:lang w:val="ru-RU" w:eastAsia="ru-RU" w:bidi="ar-SA"/>
              </w:rPr>
              <w:t xml:space="preserve">овавшего (участвовавших) в проведении экспертизы для последующего внесения его в реестр заключений экспертизы промышленной безопасности в соответствии с Административным регламентом Федеральной службы по экологическому, технологическому и атомному надзору </w:t>
            </w:r>
            <w:r>
              <w:rPr>
                <w:sz w:val="24"/>
                <w:szCs w:val="24"/>
                <w:lang w:val="ru-RU" w:eastAsia="ru-RU" w:bidi="ar-SA"/>
              </w:rPr>
              <w:t xml:space="preserve">по предоставлению государственной услуги «Внесение заключения экспертизы промышленной безопасности в реестр заключений экспертизы промышленной безопасности, а также исключение сведений из указанного реестра», утв. Приказом Ростехнадзора от 29.01.2025 №30".</w:t>
            </w: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7233" w:type="dxa"/>
            <w:vAlign w:val="center"/>
            <w:textDirection w:val="lrTb"/>
            <w:noWrap w:val="false"/>
          </w:tcPr>
          <w:p>
            <w:pPr>
              <w:pStyle w:val="758"/>
              <w:jc w:val="left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58"/>
              <w:jc w:val="center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74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989" w:type="dxa"/>
            <w:textDirection w:val="lrTb"/>
            <w:noWrap w:val="false"/>
          </w:tcPr>
          <w:p>
            <w:pPr>
              <w:pStyle w:val="758"/>
              <w:jc w:val="left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соисполнителям, привлекаемым к оказанию услуг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758"/>
              <w:jc w:val="both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В случае привлечения к оказанию услуг соисполнителей, Исполнитель обязан предоставить Заказчику на момент согласования договора документы, подтверждающие соответствие их квалификационного уровня, а так же готовность и возможность оказания ими услуг.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pStyle w:val="758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eastAsia="Noto Serif CJK SC" w:cs="Arial Unicode MS"/>
                <w:sz w:val="20"/>
                <w:szCs w:val="20"/>
                <w:lang w:val="ru-RU" w:eastAsia="ru-RU" w:bidi="ar-SA"/>
              </w:rPr>
            </w:r>
            <w:r>
              <w:rPr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eastAsia="Noto Serif CJK SC" w:cs="Arial Unicode MS"/>
                <w:sz w:val="20"/>
                <w:szCs w:val="20"/>
                <w:lang w:val="ru-RU" w:eastAsia="ru-RU" w:bidi="ar-SA"/>
              </w:rPr>
            </w:r>
            <w:r>
              <w:rPr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758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pStyle w:val="758"/>
        <w:jc w:val="both"/>
        <w:rPr>
          <w:b/>
          <w:bCs/>
          <w:i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pStyle w:val="759"/>
        <w:numPr>
          <w:ilvl w:val="0"/>
          <w:numId w:val="3"/>
        </w:numPr>
        <w:ind w:left="357" w:hanging="357"/>
        <w:jc w:val="center"/>
        <w:keepLines/>
      </w:pPr>
      <w:r/>
      <w:bookmarkStart w:id="7" w:name="_Toc17"/>
      <w:r>
        <w:t xml:space="preserve">Требования к документации по ценообразованию на этапе закупки</w:t>
      </w:r>
      <w:bookmarkEnd w:id="7"/>
      <w:r/>
      <w:r/>
    </w:p>
    <w:p>
      <w:pPr>
        <w:pStyle w:val="758"/>
        <w:ind w:firstLine="708"/>
        <w:jc w:val="both"/>
        <w:keepLines/>
        <w:keepNext/>
        <w:spacing w:line="276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</w:t>
        <w:tab/>
        <w:t xml:space="preserve">В обоснование стоимости заявки Участник должен предоставить «Коммерческое предложение» по форме, приведённый в Документации о закупке.</w:t>
      </w:r>
      <w:r>
        <w:rPr>
          <w:sz w:val="24"/>
          <w:szCs w:val="24"/>
        </w:rPr>
      </w:r>
    </w:p>
    <w:p>
      <w:pPr>
        <w:pStyle w:val="758"/>
        <w:ind w:firstLine="708"/>
        <w:jc w:val="both"/>
        <w:keepLines/>
        <w:keepNext/>
        <w:spacing w:line="276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3.2.</w:t>
        <w:tab/>
        <w:t xml:space="preserve">В составе предложения участник не предоставляет сметную документацию.</w:t>
      </w:r>
      <w:r>
        <w:rPr>
          <w:sz w:val="24"/>
          <w:szCs w:val="24"/>
        </w:rPr>
      </w:r>
    </w:p>
    <w:p>
      <w:pPr>
        <w:pStyle w:val="759"/>
        <w:numPr>
          <w:ilvl w:val="0"/>
          <w:numId w:val="3"/>
        </w:numPr>
        <w:ind w:left="357" w:hanging="357"/>
        <w:jc w:val="center"/>
        <w:keepLines/>
      </w:pPr>
      <w:r/>
      <w:bookmarkStart w:id="8" w:name="_Toc18"/>
      <w:r>
        <w:t xml:space="preserve">Требования к документации по ценообразованию на этапе заключения (исполнения) договора</w:t>
      </w:r>
      <w:bookmarkEnd w:id="8"/>
      <w:r/>
      <w:r/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4.1.</w:t>
        <w:tab/>
        <w:t xml:space="preserve">Разработка сметной документации осуществляется при заключении и исполнении договора в соответствии со следующими требованиями: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</w:pPr>
      <w:r>
        <w:rPr>
          <w:sz w:val="24"/>
          <w:szCs w:val="24"/>
        </w:rPr>
        <w:t xml:space="preserve">Для определения сметной стоимости оказываемых услуг составляется сметная документация, состоящая из локальных смет, локальных сметных расчетов, сводных сметных расчетов.</w:t>
      </w:r>
      <w:r/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использовании сборников базисных цен на конкретные виды работ п</w:t>
      </w:r>
      <w:r>
        <w:rPr>
          <w:sz w:val="24"/>
          <w:szCs w:val="24"/>
        </w:rPr>
        <w:t xml:space="preserve">риоритетным методом определения текущей стоимости услуг является ресурсно-индексный метод. Использование иного метода должно быть согласовано профильными службами с Сметно-договорного отдела АО «ДГК» (далее-СДО) до начала формирования сметной документации.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составлении локальных сметных расчетов следует принимать во внимание как рекомендательные письма федеральных и региональных органов ценообразования, так и писем СДО.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 стадии заключения Договора подрядчик предоставляет смету, составленную на основании следующих справочников: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Справочники Базовых цен на работы по ремонту энергетического оборудования (с индексом перевода в текущие цены к=4,2);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Прейскуранты на экспериментально-наладочные работы ОРГРЭС (с индексом перевода в текущие цены с учетом деноминации 1997 года к=0,158);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Справочники по обследованию и оценке технического состояния ЗиС (с индексами перевода к справочникам уровня 1995 года к=53,48, к уровню цен 2001 года к=6,99).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При отсутствии расценок в вышеуказанных справочниках допустимо составление сметного расчета по форме 3П с ценой, соответствующей итоговой сумме заявки.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Составление сметного расчета по форме 3П (по трудозатратам) на стадии заключения договора участник, признанный победителем по результатам конкурентной процедуры, обязан предоставить справку, заверенную рук</w:t>
      </w:r>
      <w:r>
        <w:rPr>
          <w:sz w:val="24"/>
          <w:szCs w:val="24"/>
        </w:rPr>
        <w:t xml:space="preserve">оводителем организации и главным бухгалтером, подтверждающую заработную плату непосредственных исполнителей услуг (час или день в соответствии с единицей измерения учтенного в расчете), накладные расходы (в процентах) и размер рентабельности (в процентах).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Командировочные расходы в случае их учета в сметах определяются по предварительному расчету с расшифровкой затрат на проезд, проживание, </w:t>
      </w:r>
      <w:r>
        <w:rPr>
          <w:sz w:val="24"/>
          <w:szCs w:val="24"/>
        </w:rPr>
        <w:t xml:space="preserve">суточные расходы (не более 700 руб./сут.). Заказчик имеет право в период действия договора запросить у Подрядчика копии первичных документов, платёжных поручений, реестры и т.д. для проверки соответствия суммы командировочных расходов фактическим затратам.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numPr>
          <w:ilvl w:val="0"/>
          <w:numId w:val="0"/>
        </w:numPr>
        <w:ind w:left="357" w:firstLine="0"/>
        <w:keepLines/>
        <w:rPr>
          <w:iCs/>
        </w:rPr>
      </w:pPr>
      <w:r>
        <w:rPr>
          <w:iCs/>
        </w:rPr>
      </w:r>
      <w:r>
        <w:rPr>
          <w:iCs/>
        </w:rPr>
      </w:r>
    </w:p>
    <w:p>
      <w:pPr>
        <w:pStyle w:val="759"/>
        <w:numPr>
          <w:ilvl w:val="0"/>
          <w:numId w:val="3"/>
        </w:numPr>
        <w:ind w:left="357" w:hanging="357"/>
        <w:jc w:val="center"/>
        <w:keepLines/>
        <w:rPr>
          <w:iCs/>
          <w:caps/>
        </w:rPr>
      </w:pPr>
      <w:r/>
      <w:bookmarkStart w:id="9" w:name="_Toc19"/>
      <w:r>
        <w:rPr>
          <w:iCs/>
        </w:rPr>
        <w:t xml:space="preserve">Приложения</w:t>
      </w:r>
      <w:bookmarkEnd w:id="9"/>
      <w:r/>
      <w:r>
        <w:rPr>
          <w:iCs/>
          <w:caps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№1: Требования к участнику закупки</w:t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8"/>
        <w:ind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48"/>
                            <w:rPr>
                              <w:rStyle w:val="79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791"/>
                            </w:rPr>
                            <w:fldChar w:fldCharType="begin"/>
                          </w:r>
                          <w:r>
                            <w:rPr>
                              <w:rStyle w:val="791"/>
                            </w:rPr>
                            <w:instrText xml:space="preserve"> PAGE </w:instrText>
                          </w:r>
                          <w:r>
                            <w:rPr>
                              <w:rStyle w:val="791"/>
                            </w:rPr>
                            <w:fldChar w:fldCharType="separate"/>
                          </w:r>
                          <w:r>
                            <w:rPr>
                              <w:rStyle w:val="791"/>
                            </w:rPr>
                            <w:t xml:space="preserve">0</w:t>
                          </w:r>
                          <w:r>
                            <w:rPr>
                              <w:rStyle w:val="791"/>
                            </w:rPr>
                            <w:fldChar w:fldCharType="end"/>
                          </w:r>
                          <w:r>
                            <w:rPr>
                              <w:rStyle w:val="79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48"/>
                      <w:rPr>
                        <w:rStyle w:val="791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791"/>
                      </w:rPr>
                      <w:fldChar w:fldCharType="begin"/>
                    </w:r>
                    <w:r>
                      <w:rPr>
                        <w:rStyle w:val="791"/>
                      </w:rPr>
                      <w:instrText xml:space="preserve"> PAGE </w:instrText>
                    </w:r>
                    <w:r>
                      <w:rPr>
                        <w:rStyle w:val="791"/>
                      </w:rPr>
                      <w:fldChar w:fldCharType="separate"/>
                    </w:r>
                    <w:r>
                      <w:rPr>
                        <w:rStyle w:val="791"/>
                      </w:rPr>
                      <w:t xml:space="preserve">0</w:t>
                    </w:r>
                    <w:r>
                      <w:rPr>
                        <w:rStyle w:val="791"/>
                      </w:rPr>
                      <w:fldChar w:fldCharType="end"/>
                    </w:r>
                    <w:r>
                      <w:rPr>
                        <w:rStyle w:val="791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both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23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both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25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both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84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88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88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88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61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892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893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896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894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89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899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6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0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2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4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6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8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759">
    <w:name w:val="Heading 1"/>
    <w:basedOn w:val="761"/>
    <w:next w:val="758"/>
    <w:link w:val="798"/>
    <w:qFormat/>
    <w:pPr>
      <w:numPr>
        <w:ilvl w:val="0"/>
      </w:numPr>
      <w:outlineLvl w:val="0"/>
    </w:pPr>
    <w:rPr>
      <w:sz w:val="28"/>
      <w:szCs w:val="28"/>
    </w:rPr>
  </w:style>
  <w:style w:type="paragraph" w:styleId="760">
    <w:name w:val="Heading 2"/>
    <w:basedOn w:val="762"/>
    <w:next w:val="758"/>
    <w:link w:val="799"/>
    <w:qFormat/>
    <w:pPr>
      <w:outlineLvl w:val="1"/>
    </w:pPr>
  </w:style>
  <w:style w:type="paragraph" w:styleId="761">
    <w:name w:val="Heading 3"/>
    <w:basedOn w:val="758"/>
    <w:next w:val="758"/>
    <w:link w:val="800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62">
    <w:name w:val="Heading 4"/>
    <w:basedOn w:val="761"/>
    <w:next w:val="758"/>
    <w:link w:val="801"/>
    <w:qFormat/>
    <w:pPr>
      <w:numPr>
        <w:ilvl w:val="1"/>
      </w:numPr>
      <w:outlineLvl w:val="3"/>
    </w:pPr>
    <w:rPr>
      <w:bCs/>
    </w:rPr>
  </w:style>
  <w:style w:type="paragraph" w:styleId="763">
    <w:name w:val="Heading 5"/>
    <w:basedOn w:val="758"/>
    <w:next w:val="758"/>
    <w:link w:val="80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4">
    <w:name w:val="Heading 6"/>
    <w:basedOn w:val="758"/>
    <w:next w:val="758"/>
    <w:link w:val="795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65">
    <w:name w:val="Heading 7"/>
    <w:basedOn w:val="758"/>
    <w:next w:val="758"/>
    <w:link w:val="796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6">
    <w:name w:val="Heading 8"/>
    <w:basedOn w:val="758"/>
    <w:next w:val="758"/>
    <w:link w:val="797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767">
    <w:name w:val="Heading 9"/>
    <w:basedOn w:val="758"/>
    <w:next w:val="758"/>
    <w:link w:val="80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8" w:default="1">
    <w:name w:val="Default Paragraph Font"/>
    <w:uiPriority w:val="1"/>
    <w:semiHidden/>
    <w:unhideWhenUsed/>
    <w:qFormat/>
  </w:style>
  <w:style w:type="character" w:styleId="769" w:customStyle="1">
    <w:name w:val="Title Char"/>
    <w:basedOn w:val="768"/>
    <w:uiPriority w:val="10"/>
    <w:qFormat/>
    <w:rPr>
      <w:sz w:val="48"/>
      <w:szCs w:val="48"/>
    </w:rPr>
  </w:style>
  <w:style w:type="character" w:styleId="770" w:customStyle="1">
    <w:name w:val="Caption Char"/>
    <w:uiPriority w:val="99"/>
    <w:qFormat/>
  </w:style>
  <w:style w:type="character" w:styleId="771" w:customStyle="1">
    <w:name w:val="Heading 1 Char"/>
    <w:basedOn w:val="768"/>
    <w:uiPriority w:val="9"/>
    <w:qFormat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basedOn w:val="768"/>
    <w:uiPriority w:val="9"/>
    <w:qFormat/>
    <w:rPr>
      <w:rFonts w:ascii="Arial" w:hAnsi="Arial" w:eastAsia="Arial" w:cs="Arial"/>
      <w:sz w:val="34"/>
    </w:rPr>
  </w:style>
  <w:style w:type="character" w:styleId="773" w:customStyle="1">
    <w:name w:val="Heading 3 Char"/>
    <w:basedOn w:val="768"/>
    <w:uiPriority w:val="9"/>
    <w:qFormat/>
    <w:rPr>
      <w:rFonts w:ascii="Arial" w:hAnsi="Arial" w:eastAsia="Arial" w:cs="Arial"/>
      <w:sz w:val="30"/>
      <w:szCs w:val="30"/>
    </w:rPr>
  </w:style>
  <w:style w:type="character" w:styleId="774" w:customStyle="1">
    <w:name w:val="Heading 4 Char"/>
    <w:basedOn w:val="76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Heading 5 Char"/>
    <w:basedOn w:val="76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Heading 6 Char"/>
    <w:basedOn w:val="76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Heading 7 Char"/>
    <w:basedOn w:val="76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Heading 8 Char"/>
    <w:basedOn w:val="7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Heading 9 Char"/>
    <w:basedOn w:val="76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80" w:customStyle="1">
    <w:name w:val="Заголовок Знак"/>
    <w:basedOn w:val="768"/>
    <w:uiPriority w:val="10"/>
    <w:qFormat/>
    <w:rPr>
      <w:sz w:val="48"/>
      <w:szCs w:val="48"/>
    </w:rPr>
  </w:style>
  <w:style w:type="character" w:styleId="781" w:customStyle="1">
    <w:name w:val="Subtitle Char"/>
    <w:basedOn w:val="768"/>
    <w:uiPriority w:val="11"/>
    <w:qFormat/>
    <w:rPr>
      <w:sz w:val="24"/>
      <w:szCs w:val="24"/>
    </w:rPr>
  </w:style>
  <w:style w:type="character" w:styleId="782" w:customStyle="1">
    <w:name w:val="Quote Char"/>
    <w:uiPriority w:val="29"/>
    <w:qFormat/>
    <w:rPr>
      <w:i/>
    </w:rPr>
  </w:style>
  <w:style w:type="character" w:styleId="783" w:customStyle="1">
    <w:name w:val="Intense Quote Char"/>
    <w:uiPriority w:val="30"/>
    <w:qFormat/>
    <w:rPr>
      <w:i/>
    </w:rPr>
  </w:style>
  <w:style w:type="character" w:styleId="784" w:customStyle="1">
    <w:name w:val="Header Char"/>
    <w:basedOn w:val="768"/>
    <w:uiPriority w:val="99"/>
    <w:qFormat/>
  </w:style>
  <w:style w:type="character" w:styleId="785" w:customStyle="1">
    <w:name w:val="Footer Char"/>
    <w:basedOn w:val="768"/>
    <w:uiPriority w:val="99"/>
    <w:qFormat/>
  </w:style>
  <w:style w:type="character" w:styleId="786" w:customStyle="1">
    <w:name w:val="Нижний колонтитул Знак"/>
    <w:uiPriority w:val="99"/>
    <w:qFormat/>
  </w:style>
  <w:style w:type="character" w:styleId="787" w:customStyle="1">
    <w:name w:val="Footnote Text Char"/>
    <w:uiPriority w:val="99"/>
    <w:qFormat/>
    <w:rPr>
      <w:sz w:val="18"/>
    </w:rPr>
  </w:style>
  <w:style w:type="character" w:styleId="788" w:customStyle="1">
    <w:name w:val="Endnote Text Char"/>
    <w:uiPriority w:val="99"/>
    <w:qFormat/>
    <w:rPr>
      <w:sz w:val="20"/>
    </w:rPr>
  </w:style>
  <w:style w:type="character" w:styleId="789">
    <w:name w:val="Символ сноски"/>
    <w:qFormat/>
    <w:rPr>
      <w:vertAlign w:val="superscript"/>
    </w:rPr>
  </w:style>
  <w:style w:type="character" w:styleId="790">
    <w:name w:val="footnote reference"/>
    <w:rPr>
      <w:vertAlign w:val="superscript"/>
    </w:rPr>
  </w:style>
  <w:style w:type="character" w:styleId="791">
    <w:name w:val="page number"/>
    <w:basedOn w:val="768"/>
    <w:qFormat/>
  </w:style>
  <w:style w:type="character" w:styleId="792">
    <w:name w:val="Hyperlink"/>
    <w:uiPriority w:val="99"/>
    <w:rPr>
      <w:color w:val="0000ff"/>
      <w:u w:val="single"/>
    </w:rPr>
  </w:style>
  <w:style w:type="character" w:styleId="793">
    <w:name w:val="annotation reference"/>
    <w:uiPriority w:val="99"/>
    <w:semiHidden/>
    <w:qFormat/>
    <w:rPr>
      <w:sz w:val="16"/>
      <w:szCs w:val="16"/>
    </w:rPr>
  </w:style>
  <w:style w:type="character" w:styleId="794">
    <w:name w:val="Strong"/>
    <w:uiPriority w:val="22"/>
    <w:qFormat/>
    <w:rPr>
      <w:b/>
      <w:bCs/>
    </w:rPr>
  </w:style>
  <w:style w:type="character" w:styleId="795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96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797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798" w:customStyle="1">
    <w:name w:val="Заголовок 1 Знак"/>
    <w:qFormat/>
    <w:rPr>
      <w:rFonts w:eastAsia="Calibri"/>
      <w:b/>
      <w:sz w:val="28"/>
      <w:szCs w:val="28"/>
    </w:rPr>
  </w:style>
  <w:style w:type="character" w:styleId="799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00" w:customStyle="1">
    <w:name w:val="Заголовок 3 Знак"/>
    <w:qFormat/>
    <w:rPr>
      <w:rFonts w:eastAsia="Calibri"/>
      <w:b/>
      <w:sz w:val="24"/>
      <w:szCs w:val="24"/>
    </w:rPr>
  </w:style>
  <w:style w:type="character" w:styleId="801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02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03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04" w:customStyle="1">
    <w:name w:val="Название Знак"/>
    <w:link w:val="846"/>
    <w:uiPriority w:val="10"/>
    <w:qFormat/>
    <w:rPr>
      <w:sz w:val="28"/>
    </w:rPr>
  </w:style>
  <w:style w:type="character" w:styleId="805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06">
    <w:name w:val="Emphasis"/>
    <w:uiPriority w:val="20"/>
    <w:qFormat/>
    <w:rPr>
      <w:i/>
      <w:iCs/>
    </w:rPr>
  </w:style>
  <w:style w:type="character" w:styleId="807" w:customStyle="1">
    <w:name w:val="Цитата 2 Знак"/>
    <w:link w:val="875"/>
    <w:uiPriority w:val="29"/>
    <w:qFormat/>
    <w:rPr>
      <w:rFonts w:ascii="Calibri" w:hAnsi="Calibri" w:eastAsia="Calibri"/>
      <w:i/>
      <w:iCs/>
      <w:color w:val="000000"/>
    </w:rPr>
  </w:style>
  <w:style w:type="character" w:styleId="808" w:customStyle="1">
    <w:name w:val="Выделенная цитата Знак"/>
    <w:link w:val="876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09">
    <w:name w:val="Subtle Emphasis"/>
    <w:uiPriority w:val="19"/>
    <w:qFormat/>
    <w:rPr>
      <w:i/>
      <w:iCs/>
      <w:color w:val="808080"/>
    </w:rPr>
  </w:style>
  <w:style w:type="character" w:styleId="810">
    <w:name w:val="Intense Emphasis"/>
    <w:uiPriority w:val="21"/>
    <w:qFormat/>
    <w:rPr>
      <w:b/>
      <w:bCs/>
      <w:i/>
      <w:iCs/>
      <w:color w:val="4f81bd"/>
    </w:rPr>
  </w:style>
  <w:style w:type="character" w:styleId="811">
    <w:name w:val="Subtle Reference"/>
    <w:uiPriority w:val="31"/>
    <w:qFormat/>
    <w:rPr>
      <w:smallCaps/>
      <w:color w:val="c0504d"/>
      <w:u w:val="single"/>
    </w:rPr>
  </w:style>
  <w:style w:type="character" w:styleId="81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13">
    <w:name w:val="Book Title"/>
    <w:uiPriority w:val="33"/>
    <w:qFormat/>
    <w:rPr>
      <w:b/>
      <w:bCs/>
      <w:smallCaps/>
      <w:spacing w:val="5"/>
    </w:rPr>
  </w:style>
  <w:style w:type="character" w:styleId="814" w:customStyle="1">
    <w:name w:val="Электронная подпись Знак"/>
    <w:link w:val="879"/>
    <w:uiPriority w:val="99"/>
    <w:qFormat/>
    <w:rPr>
      <w:rFonts w:eastAsia="Calibri"/>
      <w:sz w:val="24"/>
      <w:szCs w:val="24"/>
    </w:rPr>
  </w:style>
  <w:style w:type="character" w:styleId="815" w:customStyle="1">
    <w:name w:val="Подпункт Знак1"/>
    <w:link w:val="856"/>
    <w:qFormat/>
    <w:rPr>
      <w:sz w:val="28"/>
    </w:rPr>
  </w:style>
  <w:style w:type="character" w:styleId="816" w:customStyle="1">
    <w:name w:val="Текст сноски Знак"/>
    <w:qFormat/>
  </w:style>
  <w:style w:type="character" w:styleId="817" w:customStyle="1">
    <w:name w:val="Основной текст Знак"/>
    <w:qFormat/>
    <w:rPr>
      <w:sz w:val="28"/>
      <w:szCs w:val="28"/>
    </w:rPr>
  </w:style>
  <w:style w:type="character" w:styleId="818" w:customStyle="1">
    <w:name w:val="blk"/>
    <w:qFormat/>
  </w:style>
  <w:style w:type="character" w:styleId="819" w:customStyle="1">
    <w:name w:val="Абзац списка Знак"/>
    <w:link w:val="874"/>
    <w:uiPriority w:val="34"/>
    <w:qFormat/>
    <w:rPr>
      <w:rFonts w:eastAsia="Calibri"/>
      <w:sz w:val="24"/>
      <w:szCs w:val="24"/>
    </w:rPr>
  </w:style>
  <w:style w:type="character" w:styleId="820" w:customStyle="1">
    <w:name w:val="комментарий"/>
    <w:qFormat/>
    <w:rPr>
      <w:b/>
      <w:i/>
      <w:shd w:val="clear" w:color="auto" w:fill="ffff99"/>
    </w:rPr>
  </w:style>
  <w:style w:type="character" w:styleId="821" w:customStyle="1">
    <w:name w:val="Подподпункт Знак"/>
    <w:link w:val="891"/>
    <w:qFormat/>
    <w:rPr>
      <w:sz w:val="26"/>
      <w:szCs w:val="26"/>
    </w:rPr>
  </w:style>
  <w:style w:type="character" w:styleId="822" w:customStyle="1">
    <w:name w:val="УРОВЕНЬ_Абзац_тип3 Знак"/>
    <w:link w:val="895"/>
    <w:qFormat/>
    <w:rPr>
      <w:rFonts w:eastAsia="Calibri"/>
      <w:sz w:val="26"/>
      <w:szCs w:val="28"/>
      <w:lang w:eastAsia="en-US"/>
    </w:rPr>
  </w:style>
  <w:style w:type="character" w:styleId="823" w:customStyle="1">
    <w:name w:val="Верхний колонтитул Знак"/>
    <w:uiPriority w:val="99"/>
    <w:qFormat/>
    <w:rPr>
      <w:sz w:val="24"/>
      <w:szCs w:val="24"/>
    </w:rPr>
  </w:style>
  <w:style w:type="character" w:styleId="824" w:customStyle="1">
    <w:name w:val="Текст примечания Знак"/>
    <w:link w:val="864"/>
    <w:qFormat/>
  </w:style>
  <w:style w:type="character" w:styleId="825" w:customStyle="1">
    <w:name w:val="Текст концевой сноски Знак"/>
    <w:basedOn w:val="768"/>
    <w:qFormat/>
  </w:style>
  <w:style w:type="character" w:styleId="826">
    <w:name w:val="Символ концевой сноски"/>
    <w:qFormat/>
    <w:rPr>
      <w:vertAlign w:val="superscript"/>
    </w:rPr>
  </w:style>
  <w:style w:type="character" w:styleId="827">
    <w:name w:val="endnote reference"/>
    <w:rPr>
      <w:vertAlign w:val="superscript"/>
    </w:rPr>
  </w:style>
  <w:style w:type="character" w:styleId="828" w:customStyle="1">
    <w:name w:val="Пункт2 Знак"/>
    <w:link w:val="857"/>
    <w:qFormat/>
    <w:rPr>
      <w:b/>
      <w:sz w:val="28"/>
    </w:rPr>
  </w:style>
  <w:style w:type="character" w:styleId="829" w:customStyle="1">
    <w:name w:val="УРОВЕНЬ_1. Знак"/>
    <w:link w:val="902"/>
    <w:qFormat/>
    <w:rPr>
      <w:rFonts w:eastAsia="Calibri"/>
      <w:caps/>
      <w:sz w:val="28"/>
      <w:szCs w:val="28"/>
      <w:lang w:eastAsia="en-US"/>
    </w:rPr>
  </w:style>
  <w:style w:type="character" w:styleId="830" w:customStyle="1">
    <w:name w:val="match"/>
    <w:basedOn w:val="768"/>
    <w:qFormat/>
  </w:style>
  <w:style w:type="character" w:styleId="831">
    <w:name w:val="Ссылка указателя"/>
    <w:qFormat/>
  </w:style>
  <w:style w:type="paragraph" w:styleId="832">
    <w:name w:val="Заголовок"/>
    <w:basedOn w:val="758"/>
    <w:next w:val="83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33">
    <w:name w:val="Body Text"/>
    <w:basedOn w:val="758"/>
    <w:link w:val="817"/>
    <w:pPr>
      <w:spacing w:before="0" w:after="120"/>
    </w:pPr>
  </w:style>
  <w:style w:type="paragraph" w:styleId="834">
    <w:name w:val="List"/>
    <w:basedOn w:val="833"/>
    <w:rPr>
      <w:rFonts w:cs="Arial Unicode MS"/>
    </w:rPr>
  </w:style>
  <w:style w:type="paragraph" w:styleId="835">
    <w:name w:val="Caption"/>
    <w:basedOn w:val="758"/>
    <w:next w:val="758"/>
    <w:link w:val="770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836">
    <w:name w:val="Указатель"/>
    <w:basedOn w:val="758"/>
    <w:qFormat/>
    <w:pPr>
      <w:suppressLineNumbers/>
    </w:pPr>
    <w:rPr>
      <w:rFonts w:cs="Arial Unicode MS"/>
    </w:rPr>
  </w:style>
  <w:style w:type="paragraph" w:styleId="837">
    <w:name w:val="Title"/>
    <w:basedOn w:val="758"/>
    <w:next w:val="758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8">
    <w:name w:val="table of figures"/>
    <w:basedOn w:val="758"/>
    <w:next w:val="758"/>
    <w:uiPriority w:val="99"/>
    <w:unhideWhenUsed/>
    <w:qFormat/>
  </w:style>
  <w:style w:type="paragraph" w:styleId="839" w:customStyle="1">
    <w:name w:val="Название раздела инструкции"/>
    <w:basedOn w:val="758"/>
    <w:qFormat/>
    <w:pPr>
      <w:jc w:val="center"/>
    </w:pPr>
    <w:rPr>
      <w:b/>
    </w:rPr>
  </w:style>
  <w:style w:type="paragraph" w:styleId="840" w:customStyle="1">
    <w:name w:val="Раздел положения"/>
    <w:basedOn w:val="758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41" w:customStyle="1">
    <w:name w:val="Подраздел раздела положения"/>
    <w:basedOn w:val="758"/>
    <w:qFormat/>
    <w:pPr>
      <w:numPr>
        <w:ilvl w:val="1"/>
        <w:numId w:val="1"/>
      </w:numPr>
      <w:jc w:val="both"/>
      <w:spacing w:before="80" w:after="80"/>
    </w:pPr>
  </w:style>
  <w:style w:type="paragraph" w:styleId="842">
    <w:name w:val="footnote text"/>
    <w:basedOn w:val="758"/>
    <w:link w:val="816"/>
    <w:rPr>
      <w:sz w:val="20"/>
      <w:szCs w:val="20"/>
    </w:rPr>
  </w:style>
  <w:style w:type="paragraph" w:styleId="843" w:customStyle="1">
    <w:name w:val="Шапка 1"/>
    <w:basedOn w:val="758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844" w:customStyle="1">
    <w:name w:val="Шапка 2"/>
    <w:basedOn w:val="758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45" w:customStyle="1">
    <w:name w:val="Шапка 3"/>
    <w:basedOn w:val="758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46" w:customStyle="1">
    <w:name w:val="Название1"/>
    <w:basedOn w:val="758"/>
    <w:link w:val="804"/>
    <w:uiPriority w:val="10"/>
    <w:qFormat/>
    <w:pPr>
      <w:jc w:val="center"/>
    </w:pPr>
    <w:rPr>
      <w:szCs w:val="20"/>
    </w:rPr>
  </w:style>
  <w:style w:type="paragraph" w:styleId="847">
    <w:name w:val="Колонтитул"/>
    <w:basedOn w:val="758"/>
    <w:qFormat/>
  </w:style>
  <w:style w:type="paragraph" w:styleId="848">
    <w:name w:val="Header"/>
    <w:basedOn w:val="758"/>
    <w:link w:val="823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49">
    <w:name w:val="Body Text Indent"/>
    <w:basedOn w:val="758"/>
    <w:pPr>
      <w:ind w:left="360" w:firstLine="0"/>
    </w:pPr>
    <w:rPr>
      <w:sz w:val="24"/>
      <w:szCs w:val="24"/>
    </w:rPr>
  </w:style>
  <w:style w:type="paragraph" w:styleId="850">
    <w:name w:val="Footer"/>
    <w:basedOn w:val="758"/>
    <w:link w:val="786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1">
    <w:name w:val="Body Text Indent 2"/>
    <w:basedOn w:val="758"/>
    <w:qFormat/>
    <w:pPr>
      <w:ind w:left="283" w:firstLine="0"/>
      <w:spacing w:before="0" w:after="120" w:line="480" w:lineRule="auto"/>
    </w:pPr>
  </w:style>
  <w:style w:type="paragraph" w:styleId="852">
    <w:name w:val="Body Text 3"/>
    <w:basedOn w:val="758"/>
    <w:qFormat/>
    <w:pPr>
      <w:spacing w:before="0" w:after="120"/>
    </w:pPr>
    <w:rPr>
      <w:sz w:val="16"/>
      <w:szCs w:val="16"/>
    </w:rPr>
  </w:style>
  <w:style w:type="paragraph" w:styleId="853">
    <w:name w:val="Body Text Indent 3"/>
    <w:basedOn w:val="758"/>
    <w:qFormat/>
    <w:pPr>
      <w:ind w:left="283" w:firstLine="0"/>
      <w:spacing w:before="0" w:after="120"/>
    </w:pPr>
    <w:rPr>
      <w:sz w:val="16"/>
      <w:szCs w:val="16"/>
    </w:rPr>
  </w:style>
  <w:style w:type="paragraph" w:styleId="854">
    <w:name w:val="Body Text 2"/>
    <w:basedOn w:val="758"/>
    <w:qFormat/>
    <w:pPr>
      <w:spacing w:before="0" w:after="120" w:line="480" w:lineRule="auto"/>
    </w:pPr>
  </w:style>
  <w:style w:type="paragraph" w:styleId="855">
    <w:name w:val="Block Text"/>
    <w:basedOn w:val="758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856" w:customStyle="1">
    <w:name w:val="Подпункт"/>
    <w:basedOn w:val="758"/>
    <w:link w:val="815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857" w:customStyle="1">
    <w:name w:val="Пункт2"/>
    <w:basedOn w:val="758"/>
    <w:link w:val="828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858">
    <w:name w:val="toc 1"/>
    <w:basedOn w:val="758"/>
    <w:next w:val="758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59">
    <w:name w:val="toc 3"/>
    <w:basedOn w:val="758"/>
    <w:next w:val="758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860" w:customStyle="1">
    <w:name w:val="Раздел регламента"/>
    <w:basedOn w:val="758"/>
    <w:qFormat/>
  </w:style>
  <w:style w:type="paragraph" w:styleId="861" w:customStyle="1">
    <w:name w:val="Приложение к регламенту"/>
    <w:basedOn w:val="758"/>
    <w:qFormat/>
    <w:pPr>
      <w:jc w:val="right"/>
    </w:pPr>
  </w:style>
  <w:style w:type="paragraph" w:styleId="862">
    <w:name w:val="toc 2"/>
    <w:basedOn w:val="758"/>
    <w:next w:val="758"/>
    <w:uiPriority w:val="39"/>
    <w:pPr>
      <w:spacing w:before="240" w:after="0"/>
    </w:pPr>
    <w:rPr>
      <w:rFonts w:cs="Calibri" w:cstheme="minorHAnsi"/>
      <w:bCs/>
      <w:sz w:val="20"/>
      <w:szCs w:val="20"/>
    </w:rPr>
  </w:style>
  <w:style w:type="paragraph" w:styleId="863">
    <w:name w:val="Balloon Text"/>
    <w:basedOn w:val="758"/>
    <w:semiHidden/>
    <w:qFormat/>
    <w:rPr>
      <w:rFonts w:ascii="Tahoma" w:hAnsi="Tahoma" w:cs="Tahoma"/>
      <w:sz w:val="16"/>
      <w:szCs w:val="16"/>
    </w:rPr>
  </w:style>
  <w:style w:type="paragraph" w:styleId="864">
    <w:name w:val="annotation text"/>
    <w:basedOn w:val="758"/>
    <w:link w:val="824"/>
    <w:qFormat/>
    <w:rPr>
      <w:sz w:val="20"/>
      <w:szCs w:val="20"/>
    </w:rPr>
  </w:style>
  <w:style w:type="paragraph" w:styleId="865">
    <w:name w:val="annotation subject"/>
    <w:basedOn w:val="864"/>
    <w:next w:val="864"/>
    <w:semiHidden/>
    <w:qFormat/>
    <w:rPr>
      <w:b/>
      <w:bCs/>
    </w:rPr>
  </w:style>
  <w:style w:type="paragraph" w:styleId="866" w:customStyle="1">
    <w:name w:val="Обычный (веб)1"/>
    <w:basedOn w:val="758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867">
    <w:name w:val="toc 9"/>
    <w:basedOn w:val="758"/>
    <w:next w:val="758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68">
    <w:name w:val="toc 5"/>
    <w:basedOn w:val="758"/>
    <w:next w:val="758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69">
    <w:name w:val="toc 4"/>
    <w:basedOn w:val="758"/>
    <w:next w:val="758"/>
    <w:uiPriority w:val="39"/>
    <w:pPr>
      <w:ind w:left="560" w:firstLine="0"/>
      <w:tabs>
        <w:tab w:val="clear" w:pos="708" w:leader="none"/>
        <w:tab w:val="left" w:pos="1120" w:leader="none"/>
        <w:tab w:val="right" w:pos="9911" w:leader="none"/>
      </w:tabs>
    </w:pPr>
    <w:rPr>
      <w:rFonts w:cs="Calibri" w:cstheme="minorHAnsi"/>
      <w:sz w:val="20"/>
      <w:szCs w:val="20"/>
    </w:rPr>
  </w:style>
  <w:style w:type="paragraph" w:styleId="870" w:customStyle="1">
    <w:name w:val="Раздел положения 2"/>
    <w:basedOn w:val="758"/>
    <w:qFormat/>
    <w:pPr>
      <w:jc w:val="both"/>
      <w:pageBreakBefore/>
      <w:outlineLvl w:val="0"/>
    </w:pPr>
    <w:rPr>
      <w:b/>
    </w:rPr>
  </w:style>
  <w:style w:type="paragraph" w:styleId="871" w:customStyle="1">
    <w:name w:val="Знак Знак Знак Знак Знак Знак Знак Знак Знак"/>
    <w:basedOn w:val="758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72">
    <w:name w:val="No Spacing"/>
    <w:basedOn w:val="75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873">
    <w:name w:val="Subtitle"/>
    <w:basedOn w:val="758"/>
    <w:next w:val="758"/>
    <w:link w:val="805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874">
    <w:name w:val="List Paragraph"/>
    <w:basedOn w:val="758"/>
    <w:link w:val="819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75">
    <w:name w:val="Quote"/>
    <w:basedOn w:val="758"/>
    <w:next w:val="758"/>
    <w:link w:val="80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876">
    <w:name w:val="Intense Quote"/>
    <w:basedOn w:val="758"/>
    <w:next w:val="758"/>
    <w:link w:val="808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877">
    <w:name w:val="Index Heading"/>
    <w:basedOn w:val="832"/>
  </w:style>
  <w:style w:type="paragraph" w:styleId="878">
    <w:name w:val="TOC Heading"/>
    <w:basedOn w:val="759"/>
    <w:next w:val="758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879">
    <w:name w:val="E-mail Signature"/>
    <w:basedOn w:val="758"/>
    <w:link w:val="814"/>
    <w:uiPriority w:val="99"/>
    <w:unhideWhenUsed/>
    <w:qFormat/>
    <w:rPr>
      <w:rFonts w:eastAsia="Calibri"/>
      <w:sz w:val="24"/>
      <w:szCs w:val="24"/>
    </w:rPr>
  </w:style>
  <w:style w:type="paragraph" w:styleId="880" w:customStyle="1">
    <w:name w:val="Знак"/>
    <w:basedOn w:val="758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81" w:customStyle="1">
    <w:name w:val="Нумерованный список ур3"/>
    <w:basedOn w:val="758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882" w:customStyle="1">
    <w:name w:val="List Bullet 4"/>
    <w:basedOn w:val="758"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83" w:customStyle="1">
    <w:name w:val="Нумерованный список ур2"/>
    <w:basedOn w:val="758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84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885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886" w:customStyle="1">
    <w:name w:val="Знак Знак3 Знак Знак"/>
    <w:basedOn w:val="758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87" w:customStyle="1">
    <w:name w:val="Пункт"/>
    <w:basedOn w:val="758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888" w:customStyle="1">
    <w:name w:val="Абзац списка1"/>
    <w:basedOn w:val="758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889" w:customStyle="1">
    <w:name w:val="Таблица"/>
    <w:basedOn w:val="75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90" w:customStyle="1">
    <w:name w:val="Таблица шапка"/>
    <w:basedOn w:val="758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91" w:customStyle="1">
    <w:name w:val="Подподпункт"/>
    <w:basedOn w:val="856"/>
    <w:link w:val="821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892" w:customStyle="1">
    <w:name w:val="УРОВЕНЬ_(а)"/>
    <w:basedOn w:val="874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893" w:customStyle="1">
    <w:name w:val="УРОВЕНЬ_-"/>
    <w:basedOn w:val="874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894" w:customStyle="1">
    <w:name w:val="УРОВЕНЬ_Абзац_тип2"/>
    <w:basedOn w:val="874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95" w:customStyle="1">
    <w:name w:val="УРОВЕНЬ_Абзац_тип3"/>
    <w:basedOn w:val="874"/>
    <w:link w:val="822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96" w:customStyle="1">
    <w:name w:val="УРОВЕНЬ_Подпись"/>
    <w:basedOn w:val="87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897" w:customStyle="1">
    <w:name w:val="Стиль Заголовок 1 + по ширине"/>
    <w:basedOn w:val="759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898">
    <w:name w:val="endnote text"/>
    <w:basedOn w:val="758"/>
    <w:link w:val="825"/>
    <w:rPr>
      <w:sz w:val="20"/>
      <w:szCs w:val="20"/>
    </w:rPr>
  </w:style>
  <w:style w:type="paragraph" w:styleId="899" w:customStyle="1">
    <w:name w:val="Заголовок 2 КВВ"/>
    <w:basedOn w:val="758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00" w:customStyle="1">
    <w:name w:val="Таблица текст"/>
    <w:basedOn w:val="758"/>
    <w:qFormat/>
    <w:pPr>
      <w:ind w:left="57" w:right="57" w:firstLine="0"/>
      <w:spacing w:before="40" w:after="40"/>
    </w:pPr>
    <w:rPr>
      <w:sz w:val="24"/>
      <w:szCs w:val="26"/>
    </w:rPr>
  </w:style>
  <w:style w:type="paragraph" w:styleId="901">
    <w:name w:val="Normal (Web)"/>
    <w:basedOn w:val="758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02" w:customStyle="1">
    <w:name w:val="УРОВЕНЬ_1."/>
    <w:basedOn w:val="874"/>
    <w:link w:val="829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03">
    <w:name w:val="toc 6"/>
    <w:basedOn w:val="758"/>
    <w:next w:val="758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4">
    <w:name w:val="toc 7"/>
    <w:basedOn w:val="758"/>
    <w:next w:val="758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5">
    <w:name w:val="toc 8"/>
    <w:basedOn w:val="758"/>
    <w:next w:val="758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6" w:customStyle="1">
    <w:name w:val="headertext"/>
    <w:basedOn w:val="758"/>
    <w:qFormat/>
    <w:pPr>
      <w:spacing w:beforeAutospacing="1" w:afterAutospacing="1"/>
    </w:pPr>
    <w:rPr>
      <w:sz w:val="24"/>
      <w:szCs w:val="24"/>
    </w:rPr>
  </w:style>
  <w:style w:type="paragraph" w:styleId="907" w:customStyle="1">
    <w:name w:val="formattext"/>
    <w:basedOn w:val="758"/>
    <w:qFormat/>
    <w:pPr>
      <w:spacing w:beforeAutospacing="1" w:afterAutospacing="1"/>
    </w:pPr>
    <w:rPr>
      <w:sz w:val="24"/>
      <w:szCs w:val="24"/>
    </w:rPr>
  </w:style>
  <w:style w:type="paragraph" w:styleId="908">
    <w:name w:val="Содержимое врезки"/>
    <w:basedOn w:val="758"/>
    <w:qFormat/>
  </w:style>
  <w:style w:type="paragraph" w:styleId="909">
    <w:name w:val="Содержимое таблицы"/>
    <w:basedOn w:val="758"/>
    <w:qFormat/>
    <w:pPr>
      <w:widowControl w:val="off"/>
      <w:suppressLineNumbers/>
    </w:pPr>
  </w:style>
  <w:style w:type="paragraph" w:styleId="910">
    <w:name w:val="Заголовок таблицы"/>
    <w:basedOn w:val="909"/>
    <w:qFormat/>
    <w:pPr>
      <w:jc w:val="center"/>
      <w:suppressLineNumbers/>
    </w:pPr>
    <w:rPr>
      <w:b/>
      <w:bCs/>
    </w:rPr>
  </w:style>
  <w:style w:type="numbering" w:styleId="911" w:default="1">
    <w:name w:val="No List"/>
    <w:uiPriority w:val="99"/>
    <w:semiHidden/>
    <w:unhideWhenUsed/>
    <w:qFormat/>
  </w:style>
  <w:style w:type="numbering" w:styleId="912" w:customStyle="1">
    <w:name w:val="Стиль1"/>
    <w:uiPriority w:val="99"/>
    <w:qFormat/>
  </w:style>
  <w:style w:type="numbering" w:styleId="913" w:customStyle="1">
    <w:name w:val="Стиль2"/>
    <w:uiPriority w:val="99"/>
    <w:qFormat/>
  </w:style>
  <w:style w:type="table" w:styleId="91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15" w:customStyle="1">
    <w:name w:val="Table Grid Light"/>
    <w:basedOn w:val="9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6">
    <w:name w:val="Plain Table 1"/>
    <w:basedOn w:val="9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17">
    <w:name w:val="Plain Table 2"/>
    <w:basedOn w:val="91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18">
    <w:name w:val="Plain Table 3"/>
    <w:basedOn w:val="9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9">
    <w:name w:val="Plain Table 4"/>
    <w:basedOn w:val="9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Plain Table 5"/>
    <w:basedOn w:val="9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1">
    <w:name w:val="Grid Table 1 Light"/>
    <w:basedOn w:val="91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Grid Table 1 Light - Accent 1"/>
    <w:basedOn w:val="91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Grid Table 1 Light - Accent 2"/>
    <w:basedOn w:val="91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Grid Table 1 Light - Accent 3"/>
    <w:basedOn w:val="91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Grid Table 1 Light - Accent 4"/>
    <w:basedOn w:val="91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Grid Table 1 Light - Accent 5"/>
    <w:basedOn w:val="91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Grid Table 1 Light - Accent 6"/>
    <w:basedOn w:val="91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Grid Table 2"/>
    <w:basedOn w:val="9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2 - Accent 1"/>
    <w:basedOn w:val="91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2 - Accent 2"/>
    <w:basedOn w:val="91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2 - Accent 3"/>
    <w:basedOn w:val="91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2 - Accent 4"/>
    <w:basedOn w:val="91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2 - Accent 5"/>
    <w:basedOn w:val="91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2 - Accent 6"/>
    <w:basedOn w:val="91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"/>
    <w:basedOn w:val="9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3 - Accent 1"/>
    <w:basedOn w:val="91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3 - Accent 2"/>
    <w:basedOn w:val="91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3 - Accent 3"/>
    <w:basedOn w:val="91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3 - Accent 4"/>
    <w:basedOn w:val="91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3 - Accent 5"/>
    <w:basedOn w:val="91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3 - Accent 6"/>
    <w:basedOn w:val="91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4"/>
    <w:basedOn w:val="91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3" w:customStyle="1">
    <w:name w:val="Grid Table 4 - Accent 1"/>
    <w:basedOn w:val="91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sz="4" w:space="0"/>
        </w:tcBorders>
      </w:tcPr>
    </w:tblStylePr>
  </w:style>
  <w:style w:type="table" w:styleId="944" w:customStyle="1">
    <w:name w:val="Grid Table 4 - Accent 2"/>
    <w:basedOn w:val="91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45" w:customStyle="1">
    <w:name w:val="Grid Table 4 - Accent 3"/>
    <w:basedOn w:val="91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46" w:customStyle="1">
    <w:name w:val="Grid Table 4 - Accent 4"/>
    <w:basedOn w:val="91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47" w:customStyle="1">
    <w:name w:val="Grid Table 4 - Accent 5"/>
    <w:basedOn w:val="91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48" w:customStyle="1">
    <w:name w:val="Grid Table 4 - Accent 6"/>
    <w:basedOn w:val="91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49">
    <w:name w:val="Grid Table 5 Dark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50" w:customStyle="1">
    <w:name w:val="Grid Table 5 Dark- Accent 1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951" w:customStyle="1">
    <w:name w:val="Grid Table 5 Dark - Accent 2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52" w:customStyle="1">
    <w:name w:val="Grid Table 5 Dark - Accent 3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53" w:customStyle="1">
    <w:name w:val="Grid Table 5 Dark- Accent 4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54" w:customStyle="1">
    <w:name w:val="Grid Table 5 Dark - Accent 5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955" w:customStyle="1">
    <w:name w:val="Grid Table 5 Dark - Accent 6"/>
    <w:basedOn w:val="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56">
    <w:name w:val="Grid Table 6 Colorful"/>
    <w:basedOn w:val="91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7" w:customStyle="1">
    <w:name w:val="Grid Table 6 Colorful - Accent 1"/>
    <w:basedOn w:val="91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58" w:customStyle="1">
    <w:name w:val="Grid Table 6 Colorful - Accent 2"/>
    <w:basedOn w:val="91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59" w:customStyle="1">
    <w:name w:val="Grid Table 6 Colorful - Accent 3"/>
    <w:basedOn w:val="91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60" w:customStyle="1">
    <w:name w:val="Grid Table 6 Colorful - Accent 4"/>
    <w:basedOn w:val="91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61" w:customStyle="1">
    <w:name w:val="Grid Table 6 Colorful - Accent 5"/>
    <w:basedOn w:val="91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62" w:customStyle="1">
    <w:name w:val="Grid Table 6 Colorful - Accent 6"/>
    <w:basedOn w:val="91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63">
    <w:name w:val="Grid Table 7 Colorful"/>
    <w:basedOn w:val="91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7 Colorful - Accent 1"/>
    <w:basedOn w:val="91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7 Colorful - Accent 2"/>
    <w:basedOn w:val="91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7 Colorful - Accent 3"/>
    <w:basedOn w:val="91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7 Colorful - Accent 4"/>
    <w:basedOn w:val="91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Grid Table 7 Colorful - Accent 5"/>
    <w:basedOn w:val="91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7 Colorful - Accent 6"/>
    <w:basedOn w:val="91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"/>
    <w:basedOn w:val="91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1 Light - Accent 1"/>
    <w:basedOn w:val="914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1 Light - Accent 2"/>
    <w:basedOn w:val="914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1 Light - Accent 3"/>
    <w:basedOn w:val="914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1 Light - Accent 4"/>
    <w:basedOn w:val="914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1 Light - Accent 5"/>
    <w:basedOn w:val="914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1 Light - Accent 6"/>
    <w:basedOn w:val="914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2"/>
    <w:basedOn w:val="91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78" w:customStyle="1">
    <w:name w:val="List Table 2 - Accent 1"/>
    <w:basedOn w:val="91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979" w:customStyle="1">
    <w:name w:val="List Table 2 - Accent 2"/>
    <w:basedOn w:val="91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80" w:customStyle="1">
    <w:name w:val="List Table 2 - Accent 3"/>
    <w:basedOn w:val="91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81" w:customStyle="1">
    <w:name w:val="List Table 2 - Accent 4"/>
    <w:basedOn w:val="91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82" w:customStyle="1">
    <w:name w:val="List Table 2 - Accent 5"/>
    <w:basedOn w:val="91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983" w:customStyle="1">
    <w:name w:val="List Table 2 - Accent 6"/>
    <w:basedOn w:val="91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84">
    <w:name w:val="List Table 3"/>
    <w:basedOn w:val="9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3 - Accent 1"/>
    <w:basedOn w:val="91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3 - Accent 2"/>
    <w:basedOn w:val="91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3 - Accent 3"/>
    <w:basedOn w:val="91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3 - Accent 4"/>
    <w:basedOn w:val="91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3 - Accent 5"/>
    <w:basedOn w:val="91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3 - Accent 6"/>
    <w:basedOn w:val="91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"/>
    <w:basedOn w:val="9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4 - Accent 1"/>
    <w:basedOn w:val="91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4 - Accent 2"/>
    <w:basedOn w:val="91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4 - Accent 3"/>
    <w:basedOn w:val="91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4 - Accent 4"/>
    <w:basedOn w:val="91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4 - Accent 5"/>
    <w:basedOn w:val="91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4 - Accent 6"/>
    <w:basedOn w:val="91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5 Dark"/>
    <w:basedOn w:val="91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9" w:customStyle="1">
    <w:name w:val="List Table 5 Dark - Accent 1"/>
    <w:basedOn w:val="91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0" w:customStyle="1">
    <w:name w:val="List Table 5 Dark - Accent 2"/>
    <w:basedOn w:val="91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1" w:customStyle="1">
    <w:name w:val="List Table 5 Dark - Accent 3"/>
    <w:basedOn w:val="91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2" w:customStyle="1">
    <w:name w:val="List Table 5 Dark - Accent 4"/>
    <w:basedOn w:val="91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3" w:customStyle="1">
    <w:name w:val="List Table 5 Dark - Accent 5"/>
    <w:basedOn w:val="91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4" w:customStyle="1">
    <w:name w:val="List Table 5 Dark - Accent 6"/>
    <w:basedOn w:val="91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5">
    <w:name w:val="List Table 6 Colorful"/>
    <w:basedOn w:val="91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06" w:customStyle="1">
    <w:name w:val="List Table 6 Colorful - Accent 1"/>
    <w:basedOn w:val="91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07" w:customStyle="1">
    <w:name w:val="List Table 6 Colorful - Accent 2"/>
    <w:basedOn w:val="91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008" w:customStyle="1">
    <w:name w:val="List Table 6 Colorful - Accent 3"/>
    <w:basedOn w:val="91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009" w:customStyle="1">
    <w:name w:val="List Table 6 Colorful - Accent 4"/>
    <w:basedOn w:val="91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010" w:customStyle="1">
    <w:name w:val="List Table 6 Colorful - Accent 5"/>
    <w:basedOn w:val="91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011" w:customStyle="1">
    <w:name w:val="List Table 6 Colorful - Accent 6"/>
    <w:basedOn w:val="91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12">
    <w:name w:val="List Table 7 Colorful"/>
    <w:basedOn w:val="91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st Table 7 Colorful - Accent 1"/>
    <w:basedOn w:val="91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List Table 7 Colorful - Accent 2"/>
    <w:basedOn w:val="91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List Table 7 Colorful - Accent 3"/>
    <w:basedOn w:val="91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List Table 7 Colorful - Accent 4"/>
    <w:basedOn w:val="91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List Table 7 Colorful - Accent 5"/>
    <w:basedOn w:val="91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List Table 7 Colorful - Accent 6"/>
    <w:basedOn w:val="91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Lined - Accent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20" w:customStyle="1">
    <w:name w:val="Lined - Accent 1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021" w:customStyle="1">
    <w:name w:val="Lined - Accent 2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22" w:customStyle="1">
    <w:name w:val="Lined - Accent 3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23" w:customStyle="1">
    <w:name w:val="Lined - Accent 4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24" w:customStyle="1">
    <w:name w:val="Lined - Accent 5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025" w:customStyle="1">
    <w:name w:val="Lined - Accent 6"/>
    <w:basedOn w:val="9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26" w:customStyle="1">
    <w:name w:val="Bordered &amp; Lined - Accent"/>
    <w:basedOn w:val="91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27" w:customStyle="1">
    <w:name w:val="Bordered &amp; Lined - Accent 1"/>
    <w:basedOn w:val="91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028" w:customStyle="1">
    <w:name w:val="Bordered &amp; Lined - Accent 2"/>
    <w:basedOn w:val="91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29" w:customStyle="1">
    <w:name w:val="Bordered &amp; Lined - Accent 3"/>
    <w:basedOn w:val="91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30" w:customStyle="1">
    <w:name w:val="Bordered &amp; Lined - Accent 4"/>
    <w:basedOn w:val="91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31" w:customStyle="1">
    <w:name w:val="Bordered &amp; Lined - Accent 5"/>
    <w:basedOn w:val="91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032" w:customStyle="1">
    <w:name w:val="Bordered &amp; Lined - Accent 6"/>
    <w:basedOn w:val="91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33" w:customStyle="1">
    <w:name w:val="Bordered"/>
    <w:basedOn w:val="91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034" w:customStyle="1">
    <w:name w:val="Bordered - Accent 1"/>
    <w:basedOn w:val="91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35" w:customStyle="1">
    <w:name w:val="Bordered - Accent 2"/>
    <w:basedOn w:val="91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36" w:customStyle="1">
    <w:name w:val="Bordered - Accent 3"/>
    <w:basedOn w:val="91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37" w:customStyle="1">
    <w:name w:val="Bordered - Accent 4"/>
    <w:basedOn w:val="91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38" w:customStyle="1">
    <w:name w:val="Bordered - Accent 5"/>
    <w:basedOn w:val="91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039" w:customStyle="1">
    <w:name w:val="Bordered - Accent 6"/>
    <w:basedOn w:val="91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40">
    <w:name w:val="Table Grid"/>
    <w:basedOn w:val="91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41" w:customStyle="1">
    <w:name w:val="Сетка таблицы1"/>
    <w:basedOn w:val="914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D964E-2ACE-4132-B9BC-50F0488B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korneva_oa</cp:lastModifiedBy>
  <cp:revision>57</cp:revision>
  <dcterms:created xsi:type="dcterms:W3CDTF">2021-04-04T11:05:00Z</dcterms:created>
  <dcterms:modified xsi:type="dcterms:W3CDTF">2026-04-23T23:44:19Z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